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C152E" w14:textId="77777777" w:rsidR="00DD6CCA" w:rsidRPr="00A44E61" w:rsidRDefault="002C6CEC" w:rsidP="00AB4CE2">
      <w:pPr>
        <w:spacing w:after="0"/>
        <w:jc w:val="center"/>
        <w:rPr>
          <w:rFonts w:ascii="Chalkduster" w:hAnsi="Chalkduster"/>
          <w:b/>
          <w:sz w:val="40"/>
          <w:szCs w:val="40"/>
        </w:rPr>
      </w:pPr>
      <w:r w:rsidRPr="00A44E61">
        <w:rPr>
          <w:rFonts w:ascii="Chalkduster" w:hAnsi="Chalkduster"/>
          <w:b/>
          <w:sz w:val="40"/>
          <w:szCs w:val="40"/>
        </w:rPr>
        <w:t>More Able Focus Groups</w:t>
      </w:r>
    </w:p>
    <w:p w14:paraId="7575653E" w14:textId="77777777" w:rsidR="00AB4CE2" w:rsidRDefault="00AB4CE2" w:rsidP="00AB4CE2">
      <w:pPr>
        <w:spacing w:after="0"/>
      </w:pPr>
    </w:p>
    <w:p w14:paraId="33B9EC11" w14:textId="77777777" w:rsidR="00AB4CE2" w:rsidRDefault="00AB4CE2" w:rsidP="00AB4CE2">
      <w:pPr>
        <w:spacing w:after="0"/>
      </w:pPr>
      <w:r>
        <w:t>The More Able Cohort consists of a number of different groups.  To make this clearer to staff the Cohort have been categorised into groups.</w:t>
      </w:r>
      <w:r w:rsidR="006E56EB">
        <w:t xml:space="preserve"> </w:t>
      </w:r>
    </w:p>
    <w:p w14:paraId="7EA21B6B" w14:textId="77777777" w:rsidR="00AB4CE2" w:rsidRDefault="00AB4CE2" w:rsidP="00AB4CE2">
      <w:pPr>
        <w:spacing w:after="0"/>
      </w:pPr>
    </w:p>
    <w:tbl>
      <w:tblPr>
        <w:tblStyle w:val="TableGrid"/>
        <w:tblW w:w="15310" w:type="dxa"/>
        <w:tblInd w:w="-34" w:type="dxa"/>
        <w:tblLook w:val="04A0" w:firstRow="1" w:lastRow="0" w:firstColumn="1" w:lastColumn="0" w:noHBand="0" w:noVBand="1"/>
      </w:tblPr>
      <w:tblGrid>
        <w:gridCol w:w="1149"/>
        <w:gridCol w:w="1028"/>
        <w:gridCol w:w="3684"/>
        <w:gridCol w:w="3886"/>
        <w:gridCol w:w="1352"/>
        <w:gridCol w:w="1353"/>
        <w:gridCol w:w="1352"/>
        <w:gridCol w:w="1506"/>
      </w:tblGrid>
      <w:tr w:rsidR="00FF481E" w14:paraId="4BAD612A" w14:textId="77777777" w:rsidTr="00FF481E">
        <w:tc>
          <w:tcPr>
            <w:tcW w:w="1149" w:type="dxa"/>
            <w:shd w:val="clear" w:color="auto" w:fill="DDD9C3" w:themeFill="background2" w:themeFillShade="E6"/>
          </w:tcPr>
          <w:p w14:paraId="2C02D082" w14:textId="77777777" w:rsidR="00AB4CE2" w:rsidRPr="006E56EB" w:rsidRDefault="00AB4CE2" w:rsidP="00AB4CE2">
            <w:pPr>
              <w:jc w:val="center"/>
              <w:rPr>
                <w:sz w:val="20"/>
                <w:szCs w:val="20"/>
              </w:rPr>
            </w:pPr>
            <w:r w:rsidRPr="006E56EB">
              <w:rPr>
                <w:sz w:val="20"/>
                <w:szCs w:val="20"/>
              </w:rPr>
              <w:t>Category</w:t>
            </w:r>
          </w:p>
        </w:tc>
        <w:tc>
          <w:tcPr>
            <w:tcW w:w="1028" w:type="dxa"/>
            <w:shd w:val="clear" w:color="auto" w:fill="DDD9C3" w:themeFill="background2" w:themeFillShade="E6"/>
          </w:tcPr>
          <w:p w14:paraId="0305CFCA" w14:textId="77777777" w:rsidR="00AB4CE2" w:rsidRPr="006E56EB" w:rsidRDefault="00AB4CE2" w:rsidP="00AB4CE2">
            <w:pPr>
              <w:jc w:val="center"/>
              <w:rPr>
                <w:sz w:val="20"/>
                <w:szCs w:val="20"/>
              </w:rPr>
            </w:pPr>
            <w:r w:rsidRPr="006E56EB">
              <w:rPr>
                <w:sz w:val="20"/>
                <w:szCs w:val="20"/>
              </w:rPr>
              <w:t>Colour</w:t>
            </w:r>
          </w:p>
        </w:tc>
        <w:tc>
          <w:tcPr>
            <w:tcW w:w="3684" w:type="dxa"/>
            <w:shd w:val="clear" w:color="auto" w:fill="DDD9C3" w:themeFill="background2" w:themeFillShade="E6"/>
          </w:tcPr>
          <w:p w14:paraId="11013394" w14:textId="77777777" w:rsidR="00AB4CE2" w:rsidRPr="006E56EB" w:rsidRDefault="00AB4CE2" w:rsidP="00AB4CE2">
            <w:pPr>
              <w:jc w:val="center"/>
              <w:rPr>
                <w:sz w:val="20"/>
                <w:szCs w:val="20"/>
              </w:rPr>
            </w:pPr>
            <w:r w:rsidRPr="006E56EB">
              <w:rPr>
                <w:sz w:val="20"/>
                <w:szCs w:val="20"/>
              </w:rPr>
              <w:t>Targets</w:t>
            </w:r>
          </w:p>
        </w:tc>
        <w:tc>
          <w:tcPr>
            <w:tcW w:w="3886" w:type="dxa"/>
            <w:shd w:val="clear" w:color="auto" w:fill="DDD9C3" w:themeFill="background2" w:themeFillShade="E6"/>
          </w:tcPr>
          <w:p w14:paraId="76247B46" w14:textId="77777777" w:rsidR="00AB4CE2" w:rsidRPr="006E56EB" w:rsidRDefault="00AB4CE2" w:rsidP="00AB4CE2">
            <w:pPr>
              <w:jc w:val="center"/>
              <w:rPr>
                <w:sz w:val="20"/>
                <w:szCs w:val="20"/>
              </w:rPr>
            </w:pPr>
            <w:r w:rsidRPr="006E56EB">
              <w:rPr>
                <w:sz w:val="20"/>
                <w:szCs w:val="20"/>
              </w:rPr>
              <w:t>Characteristics</w:t>
            </w:r>
          </w:p>
        </w:tc>
        <w:tc>
          <w:tcPr>
            <w:tcW w:w="1352" w:type="dxa"/>
            <w:shd w:val="clear" w:color="auto" w:fill="DDD9C3" w:themeFill="background2" w:themeFillShade="E6"/>
          </w:tcPr>
          <w:p w14:paraId="709A1A59" w14:textId="77777777" w:rsidR="00AB4CE2" w:rsidRPr="006E56EB" w:rsidRDefault="00AB4CE2" w:rsidP="00004BEA">
            <w:pPr>
              <w:jc w:val="center"/>
              <w:rPr>
                <w:sz w:val="20"/>
                <w:szCs w:val="20"/>
              </w:rPr>
            </w:pPr>
            <w:r w:rsidRPr="006E56EB">
              <w:rPr>
                <w:sz w:val="20"/>
                <w:szCs w:val="20"/>
              </w:rPr>
              <w:t>Year 8</w:t>
            </w:r>
          </w:p>
        </w:tc>
        <w:tc>
          <w:tcPr>
            <w:tcW w:w="1353" w:type="dxa"/>
            <w:shd w:val="clear" w:color="auto" w:fill="DDD9C3" w:themeFill="background2" w:themeFillShade="E6"/>
          </w:tcPr>
          <w:p w14:paraId="62F1B427" w14:textId="77777777" w:rsidR="00AB4CE2" w:rsidRPr="006E56EB" w:rsidRDefault="00AB4CE2" w:rsidP="00004BEA">
            <w:pPr>
              <w:jc w:val="center"/>
              <w:rPr>
                <w:sz w:val="20"/>
                <w:szCs w:val="20"/>
              </w:rPr>
            </w:pPr>
            <w:r w:rsidRPr="006E56EB">
              <w:rPr>
                <w:sz w:val="20"/>
                <w:szCs w:val="20"/>
              </w:rPr>
              <w:t>Year 9</w:t>
            </w:r>
          </w:p>
        </w:tc>
        <w:tc>
          <w:tcPr>
            <w:tcW w:w="1352" w:type="dxa"/>
            <w:shd w:val="clear" w:color="auto" w:fill="DDD9C3" w:themeFill="background2" w:themeFillShade="E6"/>
          </w:tcPr>
          <w:p w14:paraId="6D9924B1" w14:textId="77777777" w:rsidR="00AB4CE2" w:rsidRPr="006E56EB" w:rsidRDefault="00AB4CE2" w:rsidP="00004BEA">
            <w:pPr>
              <w:jc w:val="center"/>
              <w:rPr>
                <w:sz w:val="20"/>
                <w:szCs w:val="20"/>
              </w:rPr>
            </w:pPr>
            <w:r w:rsidRPr="006E56EB">
              <w:rPr>
                <w:sz w:val="20"/>
                <w:szCs w:val="20"/>
              </w:rPr>
              <w:t>Year 10</w:t>
            </w:r>
          </w:p>
        </w:tc>
        <w:tc>
          <w:tcPr>
            <w:tcW w:w="1506" w:type="dxa"/>
            <w:shd w:val="clear" w:color="auto" w:fill="DDD9C3" w:themeFill="background2" w:themeFillShade="E6"/>
          </w:tcPr>
          <w:p w14:paraId="2721830D" w14:textId="77777777" w:rsidR="00AB4CE2" w:rsidRPr="006E56EB" w:rsidRDefault="00AB4CE2" w:rsidP="00004BEA">
            <w:pPr>
              <w:jc w:val="center"/>
              <w:rPr>
                <w:sz w:val="20"/>
                <w:szCs w:val="20"/>
              </w:rPr>
            </w:pPr>
            <w:r w:rsidRPr="006E56EB">
              <w:rPr>
                <w:sz w:val="20"/>
                <w:szCs w:val="20"/>
              </w:rPr>
              <w:t>Year 11</w:t>
            </w:r>
          </w:p>
        </w:tc>
      </w:tr>
      <w:tr w:rsidR="00FF481E" w14:paraId="4B87D06D" w14:textId="77777777" w:rsidTr="00FF481E">
        <w:tc>
          <w:tcPr>
            <w:tcW w:w="1149" w:type="dxa"/>
          </w:tcPr>
          <w:p w14:paraId="5575611F" w14:textId="77777777" w:rsidR="00AB4CE2" w:rsidRPr="006E56EB" w:rsidRDefault="00AB4CE2" w:rsidP="00AB4CE2">
            <w:pPr>
              <w:jc w:val="center"/>
              <w:rPr>
                <w:sz w:val="20"/>
                <w:szCs w:val="20"/>
              </w:rPr>
            </w:pPr>
            <w:r w:rsidRPr="006E56EB">
              <w:rPr>
                <w:sz w:val="20"/>
                <w:szCs w:val="20"/>
              </w:rPr>
              <w:t>Double Scholarship</w:t>
            </w:r>
          </w:p>
        </w:tc>
        <w:tc>
          <w:tcPr>
            <w:tcW w:w="1028" w:type="dxa"/>
            <w:shd w:val="clear" w:color="auto" w:fill="66FFFF"/>
          </w:tcPr>
          <w:p w14:paraId="131BCC70" w14:textId="77777777" w:rsidR="00AB4CE2" w:rsidRPr="006E56EB" w:rsidRDefault="00AB4CE2" w:rsidP="00AB4CE2">
            <w:pPr>
              <w:jc w:val="center"/>
              <w:rPr>
                <w:sz w:val="20"/>
                <w:szCs w:val="20"/>
              </w:rPr>
            </w:pPr>
            <w:r w:rsidRPr="006E56EB">
              <w:rPr>
                <w:sz w:val="20"/>
                <w:szCs w:val="20"/>
              </w:rPr>
              <w:t>Turquoise</w:t>
            </w:r>
          </w:p>
        </w:tc>
        <w:tc>
          <w:tcPr>
            <w:tcW w:w="3684" w:type="dxa"/>
          </w:tcPr>
          <w:p w14:paraId="2C7EA6ED" w14:textId="77777777" w:rsidR="00AB4CE2" w:rsidRPr="006E56EB" w:rsidRDefault="00AB4CE2" w:rsidP="00AB4CE2">
            <w:pPr>
              <w:jc w:val="center"/>
              <w:rPr>
                <w:sz w:val="20"/>
                <w:szCs w:val="20"/>
              </w:rPr>
            </w:pPr>
            <w:r w:rsidRPr="006E56EB">
              <w:rPr>
                <w:sz w:val="20"/>
                <w:szCs w:val="20"/>
              </w:rPr>
              <w:t>Students who have A* targets in English and Maths if they are to make GOOD progress</w:t>
            </w:r>
          </w:p>
        </w:tc>
        <w:tc>
          <w:tcPr>
            <w:tcW w:w="3886" w:type="dxa"/>
          </w:tcPr>
          <w:p w14:paraId="11D69B75" w14:textId="77777777" w:rsidR="00AB4CE2" w:rsidRPr="006E56EB" w:rsidRDefault="006E56EB" w:rsidP="00AB4CE2">
            <w:pPr>
              <w:jc w:val="center"/>
              <w:rPr>
                <w:sz w:val="20"/>
                <w:szCs w:val="20"/>
              </w:rPr>
            </w:pPr>
            <w:r>
              <w:rPr>
                <w:sz w:val="20"/>
                <w:szCs w:val="20"/>
              </w:rPr>
              <w:t>These are our students at the very top of the More Able Cohort in terms of potential</w:t>
            </w:r>
            <w:r w:rsidR="001A33AD">
              <w:rPr>
                <w:sz w:val="20"/>
                <w:szCs w:val="20"/>
              </w:rPr>
              <w:t>.  The FSM component of this cohort is variable.</w:t>
            </w:r>
          </w:p>
        </w:tc>
        <w:tc>
          <w:tcPr>
            <w:tcW w:w="1352" w:type="dxa"/>
          </w:tcPr>
          <w:p w14:paraId="7116844F" w14:textId="77777777" w:rsidR="00AB4CE2" w:rsidRPr="006E56EB" w:rsidRDefault="006E56EB" w:rsidP="00AB4CE2">
            <w:pPr>
              <w:jc w:val="center"/>
              <w:rPr>
                <w:sz w:val="20"/>
                <w:szCs w:val="20"/>
              </w:rPr>
            </w:pPr>
            <w:r w:rsidRPr="006E56EB">
              <w:rPr>
                <w:sz w:val="20"/>
                <w:szCs w:val="20"/>
              </w:rPr>
              <w:t>11</w:t>
            </w:r>
          </w:p>
          <w:p w14:paraId="07DEBC5F" w14:textId="77777777" w:rsidR="006E56EB" w:rsidRPr="006E56EB" w:rsidRDefault="006E56EB" w:rsidP="00AB4CE2">
            <w:pPr>
              <w:jc w:val="center"/>
              <w:rPr>
                <w:sz w:val="20"/>
                <w:szCs w:val="20"/>
              </w:rPr>
            </w:pPr>
            <w:r w:rsidRPr="006E56EB">
              <w:rPr>
                <w:sz w:val="20"/>
                <w:szCs w:val="20"/>
              </w:rPr>
              <w:t>4 (36% FSM)</w:t>
            </w:r>
          </w:p>
        </w:tc>
        <w:tc>
          <w:tcPr>
            <w:tcW w:w="1353" w:type="dxa"/>
          </w:tcPr>
          <w:p w14:paraId="06ED2AC2" w14:textId="77777777" w:rsidR="00AB4CE2" w:rsidRPr="006E56EB" w:rsidRDefault="006E56EB" w:rsidP="00AB4CE2">
            <w:pPr>
              <w:jc w:val="center"/>
              <w:rPr>
                <w:sz w:val="20"/>
                <w:szCs w:val="20"/>
              </w:rPr>
            </w:pPr>
            <w:r w:rsidRPr="006E56EB">
              <w:rPr>
                <w:sz w:val="20"/>
                <w:szCs w:val="20"/>
              </w:rPr>
              <w:t>20</w:t>
            </w:r>
          </w:p>
          <w:p w14:paraId="538E0853" w14:textId="77777777" w:rsidR="006E56EB" w:rsidRPr="006E56EB" w:rsidRDefault="006E56EB" w:rsidP="00AB4CE2">
            <w:pPr>
              <w:jc w:val="center"/>
              <w:rPr>
                <w:sz w:val="20"/>
                <w:szCs w:val="20"/>
              </w:rPr>
            </w:pPr>
            <w:r w:rsidRPr="006E56EB">
              <w:rPr>
                <w:sz w:val="20"/>
                <w:szCs w:val="20"/>
              </w:rPr>
              <w:t>2 (10% FSM)</w:t>
            </w:r>
          </w:p>
        </w:tc>
        <w:tc>
          <w:tcPr>
            <w:tcW w:w="1352" w:type="dxa"/>
          </w:tcPr>
          <w:p w14:paraId="0AE24CAB" w14:textId="77777777" w:rsidR="00AB4CE2" w:rsidRDefault="006E56EB" w:rsidP="00AB4CE2">
            <w:pPr>
              <w:jc w:val="center"/>
              <w:rPr>
                <w:sz w:val="20"/>
                <w:szCs w:val="20"/>
              </w:rPr>
            </w:pPr>
            <w:r>
              <w:rPr>
                <w:sz w:val="20"/>
                <w:szCs w:val="20"/>
              </w:rPr>
              <w:t>8</w:t>
            </w:r>
          </w:p>
          <w:p w14:paraId="26A400E8" w14:textId="77777777" w:rsidR="006E56EB" w:rsidRPr="006E56EB" w:rsidRDefault="006E56EB" w:rsidP="00AB4CE2">
            <w:pPr>
              <w:jc w:val="center"/>
              <w:rPr>
                <w:sz w:val="20"/>
                <w:szCs w:val="20"/>
              </w:rPr>
            </w:pPr>
            <w:r>
              <w:rPr>
                <w:sz w:val="20"/>
                <w:szCs w:val="20"/>
              </w:rPr>
              <w:t>No FSM</w:t>
            </w:r>
          </w:p>
        </w:tc>
        <w:tc>
          <w:tcPr>
            <w:tcW w:w="1506" w:type="dxa"/>
          </w:tcPr>
          <w:p w14:paraId="7CC39460" w14:textId="77777777" w:rsidR="00AB4CE2" w:rsidRDefault="006E56EB" w:rsidP="00AB4CE2">
            <w:pPr>
              <w:jc w:val="center"/>
              <w:rPr>
                <w:sz w:val="20"/>
                <w:szCs w:val="20"/>
              </w:rPr>
            </w:pPr>
            <w:r>
              <w:rPr>
                <w:sz w:val="20"/>
                <w:szCs w:val="20"/>
              </w:rPr>
              <w:t>14</w:t>
            </w:r>
          </w:p>
          <w:p w14:paraId="76202DBE" w14:textId="77777777" w:rsidR="006E56EB" w:rsidRPr="006E56EB" w:rsidRDefault="006E56EB" w:rsidP="00AB4CE2">
            <w:pPr>
              <w:jc w:val="center"/>
              <w:rPr>
                <w:sz w:val="20"/>
                <w:szCs w:val="20"/>
              </w:rPr>
            </w:pPr>
            <w:r>
              <w:rPr>
                <w:sz w:val="20"/>
                <w:szCs w:val="20"/>
              </w:rPr>
              <w:t>1 (7% FSM)</w:t>
            </w:r>
          </w:p>
        </w:tc>
      </w:tr>
      <w:tr w:rsidR="00FF481E" w14:paraId="08A5B9AC" w14:textId="77777777" w:rsidTr="00FF481E">
        <w:tc>
          <w:tcPr>
            <w:tcW w:w="1149" w:type="dxa"/>
          </w:tcPr>
          <w:p w14:paraId="3453CFEC" w14:textId="77777777" w:rsidR="00AB4CE2" w:rsidRPr="006E56EB" w:rsidRDefault="006E56EB" w:rsidP="00AB4CE2">
            <w:pPr>
              <w:jc w:val="center"/>
              <w:rPr>
                <w:sz w:val="20"/>
                <w:szCs w:val="20"/>
              </w:rPr>
            </w:pPr>
            <w:r>
              <w:rPr>
                <w:sz w:val="20"/>
                <w:szCs w:val="20"/>
              </w:rPr>
              <w:t>Scholarship</w:t>
            </w:r>
          </w:p>
        </w:tc>
        <w:tc>
          <w:tcPr>
            <w:tcW w:w="1028" w:type="dxa"/>
            <w:shd w:val="clear" w:color="auto" w:fill="00FF00"/>
          </w:tcPr>
          <w:p w14:paraId="0E5C60E9" w14:textId="77777777" w:rsidR="00AB4CE2" w:rsidRPr="006E56EB" w:rsidRDefault="006E56EB" w:rsidP="00AB4CE2">
            <w:pPr>
              <w:jc w:val="center"/>
              <w:rPr>
                <w:sz w:val="20"/>
                <w:szCs w:val="20"/>
              </w:rPr>
            </w:pPr>
            <w:r>
              <w:rPr>
                <w:sz w:val="20"/>
                <w:szCs w:val="20"/>
              </w:rPr>
              <w:t>Green</w:t>
            </w:r>
          </w:p>
        </w:tc>
        <w:tc>
          <w:tcPr>
            <w:tcW w:w="3684" w:type="dxa"/>
          </w:tcPr>
          <w:p w14:paraId="08FE8BC3" w14:textId="77777777" w:rsidR="00AB4CE2" w:rsidRPr="006E56EB" w:rsidRDefault="006E56EB" w:rsidP="00AB4CE2">
            <w:pPr>
              <w:jc w:val="center"/>
              <w:rPr>
                <w:sz w:val="20"/>
                <w:szCs w:val="20"/>
              </w:rPr>
            </w:pPr>
            <w:r>
              <w:rPr>
                <w:sz w:val="20"/>
                <w:szCs w:val="20"/>
              </w:rPr>
              <w:t>Students who have A/ A* targets in English and Maths if they are to make GOOD progress</w:t>
            </w:r>
          </w:p>
        </w:tc>
        <w:tc>
          <w:tcPr>
            <w:tcW w:w="3886" w:type="dxa"/>
          </w:tcPr>
          <w:p w14:paraId="28446566" w14:textId="77777777" w:rsidR="00AB4CE2" w:rsidRPr="006E56EB" w:rsidRDefault="006E56EB" w:rsidP="00AB4CE2">
            <w:pPr>
              <w:jc w:val="center"/>
              <w:rPr>
                <w:sz w:val="20"/>
                <w:szCs w:val="20"/>
              </w:rPr>
            </w:pPr>
            <w:r>
              <w:rPr>
                <w:sz w:val="20"/>
                <w:szCs w:val="20"/>
              </w:rPr>
              <w:t>These are our More Able Cohort</w:t>
            </w:r>
            <w:r w:rsidR="001A33AD">
              <w:rPr>
                <w:sz w:val="20"/>
                <w:szCs w:val="20"/>
              </w:rPr>
              <w:t xml:space="preserve">.  The FSM component </w:t>
            </w:r>
            <w:r w:rsidR="002C6CEC">
              <w:rPr>
                <w:sz w:val="20"/>
                <w:szCs w:val="20"/>
              </w:rPr>
              <w:t xml:space="preserve">of this cohort is well below </w:t>
            </w:r>
            <w:proofErr w:type="spellStart"/>
            <w:r w:rsidR="002C6CEC">
              <w:rPr>
                <w:sz w:val="20"/>
                <w:szCs w:val="20"/>
              </w:rPr>
              <w:t>teh</w:t>
            </w:r>
            <w:proofErr w:type="spellEnd"/>
            <w:r w:rsidR="002C6CEC">
              <w:rPr>
                <w:sz w:val="20"/>
                <w:szCs w:val="20"/>
              </w:rPr>
              <w:t xml:space="preserve"> school average.</w:t>
            </w:r>
          </w:p>
        </w:tc>
        <w:tc>
          <w:tcPr>
            <w:tcW w:w="1352" w:type="dxa"/>
          </w:tcPr>
          <w:p w14:paraId="62F2BE50" w14:textId="77777777" w:rsidR="00AB4CE2" w:rsidRDefault="006E56EB" w:rsidP="00AB4CE2">
            <w:pPr>
              <w:jc w:val="center"/>
              <w:rPr>
                <w:sz w:val="20"/>
                <w:szCs w:val="20"/>
              </w:rPr>
            </w:pPr>
            <w:r>
              <w:rPr>
                <w:sz w:val="20"/>
                <w:szCs w:val="20"/>
              </w:rPr>
              <w:t>39</w:t>
            </w:r>
          </w:p>
          <w:p w14:paraId="157BEF1D" w14:textId="77777777" w:rsidR="006E56EB" w:rsidRPr="006E56EB" w:rsidRDefault="006E56EB" w:rsidP="00AB4CE2">
            <w:pPr>
              <w:jc w:val="center"/>
              <w:rPr>
                <w:sz w:val="20"/>
                <w:szCs w:val="20"/>
              </w:rPr>
            </w:pPr>
            <w:r>
              <w:rPr>
                <w:sz w:val="20"/>
                <w:szCs w:val="20"/>
              </w:rPr>
              <w:t>3 (8% FSM)</w:t>
            </w:r>
          </w:p>
        </w:tc>
        <w:tc>
          <w:tcPr>
            <w:tcW w:w="1353" w:type="dxa"/>
          </w:tcPr>
          <w:p w14:paraId="4E90DC2A" w14:textId="77777777" w:rsidR="00AB4CE2" w:rsidRDefault="001A33AD" w:rsidP="00AB4CE2">
            <w:pPr>
              <w:jc w:val="center"/>
              <w:rPr>
                <w:sz w:val="20"/>
                <w:szCs w:val="20"/>
              </w:rPr>
            </w:pPr>
            <w:r>
              <w:rPr>
                <w:sz w:val="20"/>
                <w:szCs w:val="20"/>
              </w:rPr>
              <w:t>42</w:t>
            </w:r>
          </w:p>
          <w:p w14:paraId="265B0CAE" w14:textId="77777777" w:rsidR="001A33AD" w:rsidRPr="006E56EB" w:rsidRDefault="001A33AD" w:rsidP="00AB4CE2">
            <w:pPr>
              <w:jc w:val="center"/>
              <w:rPr>
                <w:sz w:val="20"/>
                <w:szCs w:val="20"/>
              </w:rPr>
            </w:pPr>
            <w:r>
              <w:rPr>
                <w:sz w:val="20"/>
                <w:szCs w:val="20"/>
              </w:rPr>
              <w:t>6 (14% FSM)</w:t>
            </w:r>
          </w:p>
        </w:tc>
        <w:tc>
          <w:tcPr>
            <w:tcW w:w="1352" w:type="dxa"/>
          </w:tcPr>
          <w:p w14:paraId="0E022563" w14:textId="77777777" w:rsidR="00AB4CE2" w:rsidRDefault="001A33AD" w:rsidP="00AB4CE2">
            <w:pPr>
              <w:jc w:val="center"/>
              <w:rPr>
                <w:sz w:val="20"/>
                <w:szCs w:val="20"/>
              </w:rPr>
            </w:pPr>
            <w:r>
              <w:rPr>
                <w:sz w:val="20"/>
                <w:szCs w:val="20"/>
              </w:rPr>
              <w:t>39</w:t>
            </w:r>
          </w:p>
          <w:p w14:paraId="036106F5" w14:textId="77777777" w:rsidR="001A33AD" w:rsidRPr="006E56EB" w:rsidRDefault="001A33AD" w:rsidP="00AB4CE2">
            <w:pPr>
              <w:jc w:val="center"/>
              <w:rPr>
                <w:sz w:val="20"/>
                <w:szCs w:val="20"/>
              </w:rPr>
            </w:pPr>
            <w:r>
              <w:rPr>
                <w:sz w:val="20"/>
                <w:szCs w:val="20"/>
              </w:rPr>
              <w:t>3 (8% FSM)</w:t>
            </w:r>
          </w:p>
        </w:tc>
        <w:tc>
          <w:tcPr>
            <w:tcW w:w="1506" w:type="dxa"/>
          </w:tcPr>
          <w:p w14:paraId="3C549D20" w14:textId="77777777" w:rsidR="00AB4CE2" w:rsidRDefault="001A33AD" w:rsidP="00AB4CE2">
            <w:pPr>
              <w:jc w:val="center"/>
              <w:rPr>
                <w:sz w:val="20"/>
                <w:szCs w:val="20"/>
              </w:rPr>
            </w:pPr>
            <w:r>
              <w:rPr>
                <w:sz w:val="20"/>
                <w:szCs w:val="20"/>
              </w:rPr>
              <w:t>32</w:t>
            </w:r>
          </w:p>
          <w:p w14:paraId="151CB057" w14:textId="77777777" w:rsidR="001A33AD" w:rsidRPr="006E56EB" w:rsidRDefault="001A33AD" w:rsidP="00AB4CE2">
            <w:pPr>
              <w:jc w:val="center"/>
              <w:rPr>
                <w:sz w:val="20"/>
                <w:szCs w:val="20"/>
              </w:rPr>
            </w:pPr>
            <w:r>
              <w:rPr>
                <w:sz w:val="20"/>
                <w:szCs w:val="20"/>
              </w:rPr>
              <w:t>3 (9% FSM)</w:t>
            </w:r>
          </w:p>
        </w:tc>
      </w:tr>
      <w:tr w:rsidR="00FF481E" w14:paraId="41242DCB" w14:textId="77777777" w:rsidTr="00FF481E">
        <w:tc>
          <w:tcPr>
            <w:tcW w:w="1149" w:type="dxa"/>
          </w:tcPr>
          <w:p w14:paraId="58D0BA93" w14:textId="77777777" w:rsidR="00AB4CE2" w:rsidRPr="006E56EB" w:rsidRDefault="001A33AD" w:rsidP="00AB4CE2">
            <w:pPr>
              <w:jc w:val="center"/>
              <w:rPr>
                <w:sz w:val="20"/>
                <w:szCs w:val="20"/>
              </w:rPr>
            </w:pPr>
            <w:r>
              <w:rPr>
                <w:sz w:val="20"/>
                <w:szCs w:val="20"/>
              </w:rPr>
              <w:t>Maths Scholarship</w:t>
            </w:r>
          </w:p>
        </w:tc>
        <w:tc>
          <w:tcPr>
            <w:tcW w:w="1028" w:type="dxa"/>
            <w:shd w:val="clear" w:color="auto" w:fill="FFC000"/>
          </w:tcPr>
          <w:p w14:paraId="5A9270FE" w14:textId="77777777" w:rsidR="00AB4CE2" w:rsidRPr="006E56EB" w:rsidRDefault="001A33AD" w:rsidP="00AB4CE2">
            <w:pPr>
              <w:jc w:val="center"/>
              <w:rPr>
                <w:sz w:val="20"/>
                <w:szCs w:val="20"/>
              </w:rPr>
            </w:pPr>
            <w:r>
              <w:rPr>
                <w:sz w:val="20"/>
                <w:szCs w:val="20"/>
              </w:rPr>
              <w:t>Amber</w:t>
            </w:r>
          </w:p>
        </w:tc>
        <w:tc>
          <w:tcPr>
            <w:tcW w:w="3684" w:type="dxa"/>
          </w:tcPr>
          <w:p w14:paraId="3F05A713" w14:textId="77777777" w:rsidR="00AB4CE2" w:rsidRPr="006E56EB" w:rsidRDefault="001A33AD" w:rsidP="00AB4CE2">
            <w:pPr>
              <w:jc w:val="center"/>
              <w:rPr>
                <w:sz w:val="20"/>
                <w:szCs w:val="20"/>
              </w:rPr>
            </w:pPr>
            <w:r>
              <w:rPr>
                <w:sz w:val="20"/>
                <w:szCs w:val="20"/>
              </w:rPr>
              <w:t>Students who have an A* target in Maths but a B target in English</w:t>
            </w:r>
          </w:p>
        </w:tc>
        <w:tc>
          <w:tcPr>
            <w:tcW w:w="3886" w:type="dxa"/>
          </w:tcPr>
          <w:p w14:paraId="56E765D5" w14:textId="77777777" w:rsidR="00AB4CE2" w:rsidRPr="006E56EB" w:rsidRDefault="001A33AD" w:rsidP="00AB4CE2">
            <w:pPr>
              <w:jc w:val="center"/>
              <w:rPr>
                <w:sz w:val="20"/>
                <w:szCs w:val="20"/>
              </w:rPr>
            </w:pPr>
            <w:r>
              <w:rPr>
                <w:sz w:val="20"/>
                <w:szCs w:val="20"/>
              </w:rPr>
              <w:t>These students are More Able in Maths and Science, but not in literacy subjects.  This is more common than English Scholarship.  FSM students are more likely to have this uneven performance.</w:t>
            </w:r>
          </w:p>
        </w:tc>
        <w:tc>
          <w:tcPr>
            <w:tcW w:w="1352" w:type="dxa"/>
          </w:tcPr>
          <w:p w14:paraId="063A85BB" w14:textId="77777777" w:rsidR="00AB4CE2" w:rsidRDefault="00D10E95" w:rsidP="00AB4CE2">
            <w:pPr>
              <w:jc w:val="center"/>
              <w:rPr>
                <w:sz w:val="20"/>
                <w:szCs w:val="20"/>
              </w:rPr>
            </w:pPr>
            <w:r>
              <w:rPr>
                <w:sz w:val="20"/>
                <w:szCs w:val="20"/>
              </w:rPr>
              <w:t>9</w:t>
            </w:r>
          </w:p>
          <w:p w14:paraId="0E291940" w14:textId="77777777" w:rsidR="001A33AD" w:rsidRPr="006E56EB" w:rsidRDefault="00D10E95" w:rsidP="00AB4CE2">
            <w:pPr>
              <w:jc w:val="center"/>
              <w:rPr>
                <w:sz w:val="20"/>
                <w:szCs w:val="20"/>
              </w:rPr>
            </w:pPr>
            <w:r>
              <w:rPr>
                <w:sz w:val="20"/>
                <w:szCs w:val="20"/>
              </w:rPr>
              <w:t>3 (33</w:t>
            </w:r>
            <w:r w:rsidR="001A33AD">
              <w:rPr>
                <w:sz w:val="20"/>
                <w:szCs w:val="20"/>
              </w:rPr>
              <w:t>% FSM)</w:t>
            </w:r>
          </w:p>
        </w:tc>
        <w:tc>
          <w:tcPr>
            <w:tcW w:w="1353" w:type="dxa"/>
          </w:tcPr>
          <w:p w14:paraId="59BA5635" w14:textId="77777777" w:rsidR="00AB4CE2" w:rsidRDefault="001A33AD" w:rsidP="00AB4CE2">
            <w:pPr>
              <w:jc w:val="center"/>
              <w:rPr>
                <w:sz w:val="20"/>
                <w:szCs w:val="20"/>
              </w:rPr>
            </w:pPr>
            <w:r>
              <w:rPr>
                <w:sz w:val="20"/>
                <w:szCs w:val="20"/>
              </w:rPr>
              <w:t>11</w:t>
            </w:r>
          </w:p>
          <w:p w14:paraId="5C8A24AA" w14:textId="77777777" w:rsidR="001A33AD" w:rsidRPr="006E56EB" w:rsidRDefault="001A33AD" w:rsidP="00AB4CE2">
            <w:pPr>
              <w:jc w:val="center"/>
              <w:rPr>
                <w:sz w:val="20"/>
                <w:szCs w:val="20"/>
              </w:rPr>
            </w:pPr>
            <w:r>
              <w:rPr>
                <w:sz w:val="20"/>
                <w:szCs w:val="20"/>
              </w:rPr>
              <w:t>2 (18% FSM)</w:t>
            </w:r>
          </w:p>
        </w:tc>
        <w:tc>
          <w:tcPr>
            <w:tcW w:w="1352" w:type="dxa"/>
          </w:tcPr>
          <w:p w14:paraId="3AAD7FCD" w14:textId="77777777" w:rsidR="00AB4CE2" w:rsidRDefault="00D10E95" w:rsidP="00AB4CE2">
            <w:pPr>
              <w:jc w:val="center"/>
              <w:rPr>
                <w:sz w:val="20"/>
                <w:szCs w:val="20"/>
              </w:rPr>
            </w:pPr>
            <w:r>
              <w:rPr>
                <w:sz w:val="20"/>
                <w:szCs w:val="20"/>
              </w:rPr>
              <w:t>15</w:t>
            </w:r>
          </w:p>
          <w:p w14:paraId="2D0CA07C" w14:textId="77777777" w:rsidR="001A33AD" w:rsidRPr="006E56EB" w:rsidRDefault="00D10E95" w:rsidP="00AB4CE2">
            <w:pPr>
              <w:jc w:val="center"/>
              <w:rPr>
                <w:sz w:val="20"/>
                <w:szCs w:val="20"/>
              </w:rPr>
            </w:pPr>
            <w:r>
              <w:rPr>
                <w:sz w:val="20"/>
                <w:szCs w:val="20"/>
              </w:rPr>
              <w:t>5 (33</w:t>
            </w:r>
            <w:r w:rsidR="001A33AD">
              <w:rPr>
                <w:sz w:val="20"/>
                <w:szCs w:val="20"/>
              </w:rPr>
              <w:t>% FSM)</w:t>
            </w:r>
          </w:p>
        </w:tc>
        <w:tc>
          <w:tcPr>
            <w:tcW w:w="1506" w:type="dxa"/>
          </w:tcPr>
          <w:p w14:paraId="587573B0" w14:textId="77777777" w:rsidR="00AB4CE2" w:rsidRDefault="001A33AD" w:rsidP="00AB4CE2">
            <w:pPr>
              <w:jc w:val="center"/>
              <w:rPr>
                <w:sz w:val="20"/>
                <w:szCs w:val="20"/>
              </w:rPr>
            </w:pPr>
            <w:r>
              <w:rPr>
                <w:sz w:val="20"/>
                <w:szCs w:val="20"/>
              </w:rPr>
              <w:t>7</w:t>
            </w:r>
          </w:p>
          <w:p w14:paraId="2CE3FB15" w14:textId="77777777" w:rsidR="001A33AD" w:rsidRPr="006E56EB" w:rsidRDefault="001A33AD" w:rsidP="00AB4CE2">
            <w:pPr>
              <w:jc w:val="center"/>
              <w:rPr>
                <w:sz w:val="20"/>
                <w:szCs w:val="20"/>
              </w:rPr>
            </w:pPr>
            <w:r>
              <w:rPr>
                <w:sz w:val="20"/>
                <w:szCs w:val="20"/>
              </w:rPr>
              <w:t>2 (29% FSM)</w:t>
            </w:r>
          </w:p>
        </w:tc>
      </w:tr>
      <w:tr w:rsidR="00FF481E" w14:paraId="3928A3AE" w14:textId="77777777" w:rsidTr="00FF481E">
        <w:tc>
          <w:tcPr>
            <w:tcW w:w="1149" w:type="dxa"/>
          </w:tcPr>
          <w:p w14:paraId="23FDA46E" w14:textId="77777777" w:rsidR="00AB4CE2" w:rsidRPr="006E56EB" w:rsidRDefault="001A33AD" w:rsidP="00AB4CE2">
            <w:pPr>
              <w:jc w:val="center"/>
              <w:rPr>
                <w:sz w:val="20"/>
                <w:szCs w:val="20"/>
              </w:rPr>
            </w:pPr>
            <w:r>
              <w:rPr>
                <w:sz w:val="20"/>
                <w:szCs w:val="20"/>
              </w:rPr>
              <w:t>English Scholarship</w:t>
            </w:r>
          </w:p>
        </w:tc>
        <w:tc>
          <w:tcPr>
            <w:tcW w:w="1028" w:type="dxa"/>
            <w:shd w:val="clear" w:color="auto" w:fill="DDD9C3" w:themeFill="background2" w:themeFillShade="E6"/>
          </w:tcPr>
          <w:p w14:paraId="5499E813" w14:textId="77777777" w:rsidR="00AB4CE2" w:rsidRPr="006E56EB" w:rsidRDefault="001A33AD" w:rsidP="00AB4CE2">
            <w:pPr>
              <w:jc w:val="center"/>
              <w:rPr>
                <w:sz w:val="20"/>
                <w:szCs w:val="20"/>
              </w:rPr>
            </w:pPr>
            <w:r>
              <w:rPr>
                <w:sz w:val="20"/>
                <w:szCs w:val="20"/>
              </w:rPr>
              <w:t>Beige</w:t>
            </w:r>
          </w:p>
        </w:tc>
        <w:tc>
          <w:tcPr>
            <w:tcW w:w="3684" w:type="dxa"/>
          </w:tcPr>
          <w:p w14:paraId="2F69121F" w14:textId="77777777" w:rsidR="00AB4CE2" w:rsidRPr="006E56EB" w:rsidRDefault="001A33AD" w:rsidP="00AB4CE2">
            <w:pPr>
              <w:jc w:val="center"/>
              <w:rPr>
                <w:sz w:val="20"/>
                <w:szCs w:val="20"/>
              </w:rPr>
            </w:pPr>
            <w:r>
              <w:rPr>
                <w:sz w:val="20"/>
                <w:szCs w:val="20"/>
              </w:rPr>
              <w:t>Students who have an A* target in English but a B target in Maths</w:t>
            </w:r>
            <w:bookmarkStart w:id="0" w:name="_GoBack"/>
            <w:bookmarkEnd w:id="0"/>
          </w:p>
        </w:tc>
        <w:tc>
          <w:tcPr>
            <w:tcW w:w="3886" w:type="dxa"/>
          </w:tcPr>
          <w:p w14:paraId="6CE8F458" w14:textId="77777777" w:rsidR="00AB4CE2" w:rsidRPr="006E56EB" w:rsidRDefault="001A33AD" w:rsidP="00AB4CE2">
            <w:pPr>
              <w:jc w:val="center"/>
              <w:rPr>
                <w:sz w:val="20"/>
                <w:szCs w:val="20"/>
              </w:rPr>
            </w:pPr>
            <w:r>
              <w:rPr>
                <w:sz w:val="20"/>
                <w:szCs w:val="20"/>
              </w:rPr>
              <w:t>These students are More Able in literacy subjects, but not in Maths and Science.  This is less common than Maths Scholarship.  FSM students are more likely to have this uneven performance.</w:t>
            </w:r>
          </w:p>
        </w:tc>
        <w:tc>
          <w:tcPr>
            <w:tcW w:w="1352" w:type="dxa"/>
          </w:tcPr>
          <w:p w14:paraId="3FF2BFF1" w14:textId="77777777" w:rsidR="00AB4CE2" w:rsidRDefault="001A33AD" w:rsidP="00AB4CE2">
            <w:pPr>
              <w:jc w:val="center"/>
              <w:rPr>
                <w:sz w:val="20"/>
                <w:szCs w:val="20"/>
              </w:rPr>
            </w:pPr>
            <w:r>
              <w:rPr>
                <w:sz w:val="20"/>
                <w:szCs w:val="20"/>
              </w:rPr>
              <w:t>2</w:t>
            </w:r>
          </w:p>
          <w:p w14:paraId="5EBA50A6" w14:textId="77777777" w:rsidR="001A33AD" w:rsidRPr="006E56EB" w:rsidRDefault="001A33AD" w:rsidP="00AB4CE2">
            <w:pPr>
              <w:jc w:val="center"/>
              <w:rPr>
                <w:sz w:val="20"/>
                <w:szCs w:val="20"/>
              </w:rPr>
            </w:pPr>
            <w:r>
              <w:rPr>
                <w:sz w:val="20"/>
                <w:szCs w:val="20"/>
              </w:rPr>
              <w:t>1 (50% FSM)</w:t>
            </w:r>
          </w:p>
        </w:tc>
        <w:tc>
          <w:tcPr>
            <w:tcW w:w="1353" w:type="dxa"/>
          </w:tcPr>
          <w:p w14:paraId="2CB4D0D0" w14:textId="77777777" w:rsidR="00AB4CE2" w:rsidRDefault="001A33AD" w:rsidP="00AB4CE2">
            <w:pPr>
              <w:jc w:val="center"/>
              <w:rPr>
                <w:sz w:val="20"/>
                <w:szCs w:val="20"/>
              </w:rPr>
            </w:pPr>
            <w:r>
              <w:rPr>
                <w:sz w:val="20"/>
                <w:szCs w:val="20"/>
              </w:rPr>
              <w:t>3</w:t>
            </w:r>
          </w:p>
          <w:p w14:paraId="2FBB939B" w14:textId="77777777" w:rsidR="001A33AD" w:rsidRPr="006E56EB" w:rsidRDefault="001A33AD" w:rsidP="00AB4CE2">
            <w:pPr>
              <w:jc w:val="center"/>
              <w:rPr>
                <w:sz w:val="20"/>
                <w:szCs w:val="20"/>
              </w:rPr>
            </w:pPr>
            <w:r>
              <w:rPr>
                <w:sz w:val="20"/>
                <w:szCs w:val="20"/>
              </w:rPr>
              <w:t>No FSM</w:t>
            </w:r>
          </w:p>
        </w:tc>
        <w:tc>
          <w:tcPr>
            <w:tcW w:w="1352" w:type="dxa"/>
          </w:tcPr>
          <w:p w14:paraId="4A1A6531" w14:textId="77777777" w:rsidR="00AB4CE2" w:rsidRDefault="001A33AD" w:rsidP="00AB4CE2">
            <w:pPr>
              <w:jc w:val="center"/>
              <w:rPr>
                <w:sz w:val="20"/>
                <w:szCs w:val="20"/>
              </w:rPr>
            </w:pPr>
            <w:r>
              <w:rPr>
                <w:sz w:val="20"/>
                <w:szCs w:val="20"/>
              </w:rPr>
              <w:t>6</w:t>
            </w:r>
          </w:p>
          <w:p w14:paraId="71A8F85E" w14:textId="77777777" w:rsidR="001A33AD" w:rsidRPr="006E56EB" w:rsidRDefault="001A33AD" w:rsidP="00AB4CE2">
            <w:pPr>
              <w:jc w:val="center"/>
              <w:rPr>
                <w:sz w:val="20"/>
                <w:szCs w:val="20"/>
              </w:rPr>
            </w:pPr>
            <w:r>
              <w:rPr>
                <w:sz w:val="20"/>
                <w:szCs w:val="20"/>
              </w:rPr>
              <w:t>1 (17% FSM)</w:t>
            </w:r>
          </w:p>
        </w:tc>
        <w:tc>
          <w:tcPr>
            <w:tcW w:w="1506" w:type="dxa"/>
          </w:tcPr>
          <w:p w14:paraId="7A4D19BE" w14:textId="77777777" w:rsidR="00AB4CE2" w:rsidRDefault="001A33AD" w:rsidP="00AB4CE2">
            <w:pPr>
              <w:jc w:val="center"/>
              <w:rPr>
                <w:sz w:val="20"/>
                <w:szCs w:val="20"/>
              </w:rPr>
            </w:pPr>
            <w:r>
              <w:rPr>
                <w:sz w:val="20"/>
                <w:szCs w:val="20"/>
              </w:rPr>
              <w:t>4</w:t>
            </w:r>
          </w:p>
          <w:p w14:paraId="7AE187EE" w14:textId="77777777" w:rsidR="001A33AD" w:rsidRPr="006E56EB" w:rsidRDefault="001A33AD" w:rsidP="00AB4CE2">
            <w:pPr>
              <w:jc w:val="center"/>
              <w:rPr>
                <w:sz w:val="20"/>
                <w:szCs w:val="20"/>
              </w:rPr>
            </w:pPr>
            <w:r>
              <w:rPr>
                <w:sz w:val="20"/>
                <w:szCs w:val="20"/>
              </w:rPr>
              <w:t>1 (25% FSM)</w:t>
            </w:r>
          </w:p>
        </w:tc>
      </w:tr>
      <w:tr w:rsidR="00FF481E" w14:paraId="75054814" w14:textId="77777777" w:rsidTr="00FF481E">
        <w:tc>
          <w:tcPr>
            <w:tcW w:w="1149" w:type="dxa"/>
          </w:tcPr>
          <w:p w14:paraId="671C2B8A" w14:textId="77777777" w:rsidR="00AB4CE2" w:rsidRPr="006E56EB" w:rsidRDefault="001A33AD" w:rsidP="00AB4CE2">
            <w:pPr>
              <w:jc w:val="center"/>
              <w:rPr>
                <w:sz w:val="20"/>
                <w:szCs w:val="20"/>
              </w:rPr>
            </w:pPr>
            <w:r>
              <w:rPr>
                <w:sz w:val="20"/>
                <w:szCs w:val="20"/>
              </w:rPr>
              <w:t>Aspiration</w:t>
            </w:r>
          </w:p>
        </w:tc>
        <w:tc>
          <w:tcPr>
            <w:tcW w:w="1028" w:type="dxa"/>
            <w:shd w:val="clear" w:color="auto" w:fill="CCC0D9" w:themeFill="accent4" w:themeFillTint="66"/>
          </w:tcPr>
          <w:p w14:paraId="3EBF4B76" w14:textId="77777777" w:rsidR="00AB4CE2" w:rsidRPr="001A33AD" w:rsidRDefault="001A33AD" w:rsidP="00AB4CE2">
            <w:pPr>
              <w:jc w:val="center"/>
              <w:rPr>
                <w:sz w:val="20"/>
                <w:szCs w:val="20"/>
              </w:rPr>
            </w:pPr>
            <w:r w:rsidRPr="001A33AD">
              <w:rPr>
                <w:sz w:val="20"/>
                <w:szCs w:val="20"/>
              </w:rPr>
              <w:t>Purple</w:t>
            </w:r>
          </w:p>
        </w:tc>
        <w:tc>
          <w:tcPr>
            <w:tcW w:w="3684" w:type="dxa"/>
          </w:tcPr>
          <w:p w14:paraId="4BBED126" w14:textId="77777777" w:rsidR="00AB4CE2" w:rsidRDefault="001A33AD" w:rsidP="001A33AD">
            <w:pPr>
              <w:rPr>
                <w:sz w:val="20"/>
                <w:szCs w:val="20"/>
              </w:rPr>
            </w:pPr>
            <w:r>
              <w:rPr>
                <w:sz w:val="20"/>
                <w:szCs w:val="20"/>
              </w:rPr>
              <w:t>Students who:</w:t>
            </w:r>
          </w:p>
          <w:p w14:paraId="726A6C21" w14:textId="77777777" w:rsidR="001A33AD" w:rsidRDefault="001A33AD" w:rsidP="001A33AD">
            <w:pPr>
              <w:pStyle w:val="ListParagraph"/>
              <w:numPr>
                <w:ilvl w:val="0"/>
                <w:numId w:val="4"/>
              </w:numPr>
              <w:rPr>
                <w:sz w:val="20"/>
                <w:szCs w:val="20"/>
              </w:rPr>
            </w:pPr>
            <w:r w:rsidRPr="001A33AD">
              <w:rPr>
                <w:sz w:val="20"/>
                <w:szCs w:val="20"/>
              </w:rPr>
              <w:t xml:space="preserve">Have requested to be in the Cohort </w:t>
            </w:r>
          </w:p>
          <w:p w14:paraId="77C31935" w14:textId="77777777" w:rsidR="001A33AD" w:rsidRDefault="001A33AD" w:rsidP="001A33AD">
            <w:pPr>
              <w:pStyle w:val="ListParagraph"/>
              <w:numPr>
                <w:ilvl w:val="0"/>
                <w:numId w:val="4"/>
              </w:numPr>
              <w:rPr>
                <w:sz w:val="20"/>
                <w:szCs w:val="20"/>
              </w:rPr>
            </w:pPr>
            <w:r w:rsidRPr="001A33AD">
              <w:rPr>
                <w:sz w:val="20"/>
                <w:szCs w:val="20"/>
              </w:rPr>
              <w:t>Are performing in the top 20 in the year despite not being in the Cohort</w:t>
            </w:r>
          </w:p>
          <w:p w14:paraId="12AB03C3" w14:textId="77777777" w:rsidR="001A33AD" w:rsidRPr="00A35EF7" w:rsidRDefault="00A35EF7" w:rsidP="001A33AD">
            <w:pPr>
              <w:pStyle w:val="ListParagraph"/>
              <w:numPr>
                <w:ilvl w:val="0"/>
                <w:numId w:val="4"/>
              </w:numPr>
              <w:rPr>
                <w:sz w:val="20"/>
                <w:szCs w:val="20"/>
              </w:rPr>
            </w:pPr>
            <w:r>
              <w:rPr>
                <w:sz w:val="20"/>
                <w:szCs w:val="20"/>
              </w:rPr>
              <w:t>Are FSM and have been ‘fast tracked’ into the Cohort</w:t>
            </w:r>
          </w:p>
        </w:tc>
        <w:tc>
          <w:tcPr>
            <w:tcW w:w="3886" w:type="dxa"/>
          </w:tcPr>
          <w:p w14:paraId="45BC0CE8" w14:textId="77777777" w:rsidR="00AB4CE2" w:rsidRPr="006E56EB" w:rsidRDefault="00A35EF7" w:rsidP="00AB4CE2">
            <w:pPr>
              <w:jc w:val="center"/>
              <w:rPr>
                <w:sz w:val="20"/>
                <w:szCs w:val="20"/>
              </w:rPr>
            </w:pPr>
            <w:r>
              <w:rPr>
                <w:sz w:val="20"/>
                <w:szCs w:val="20"/>
              </w:rPr>
              <w:t>These are students who are aspirational themselves, or for whom we are aspirational.  They may not have A/ A* targets but should be pushed to exceed the targets that they have.  27% of students who have requested to be in the MA Cohort are FSM students</w:t>
            </w:r>
          </w:p>
        </w:tc>
        <w:tc>
          <w:tcPr>
            <w:tcW w:w="1352" w:type="dxa"/>
          </w:tcPr>
          <w:p w14:paraId="5A47FB8B" w14:textId="77777777" w:rsidR="00AB4CE2" w:rsidRDefault="00A35EF7" w:rsidP="00AB4CE2">
            <w:pPr>
              <w:jc w:val="center"/>
              <w:rPr>
                <w:sz w:val="20"/>
                <w:szCs w:val="20"/>
              </w:rPr>
            </w:pPr>
            <w:r>
              <w:rPr>
                <w:sz w:val="20"/>
                <w:szCs w:val="20"/>
              </w:rPr>
              <w:t>13</w:t>
            </w:r>
          </w:p>
          <w:p w14:paraId="1689E67B" w14:textId="77777777" w:rsidR="00A35EF7" w:rsidRPr="006E56EB" w:rsidRDefault="00A35EF7" w:rsidP="00AB4CE2">
            <w:pPr>
              <w:jc w:val="center"/>
              <w:rPr>
                <w:sz w:val="20"/>
                <w:szCs w:val="20"/>
              </w:rPr>
            </w:pPr>
            <w:r>
              <w:rPr>
                <w:sz w:val="20"/>
                <w:szCs w:val="20"/>
              </w:rPr>
              <w:t>1 (8% FSM)</w:t>
            </w:r>
          </w:p>
        </w:tc>
        <w:tc>
          <w:tcPr>
            <w:tcW w:w="1353" w:type="dxa"/>
          </w:tcPr>
          <w:p w14:paraId="435BAE23" w14:textId="77777777" w:rsidR="00AB4CE2" w:rsidRDefault="00A35EF7" w:rsidP="00AB4CE2">
            <w:pPr>
              <w:jc w:val="center"/>
              <w:rPr>
                <w:sz w:val="20"/>
                <w:szCs w:val="20"/>
              </w:rPr>
            </w:pPr>
            <w:r>
              <w:rPr>
                <w:sz w:val="20"/>
                <w:szCs w:val="20"/>
              </w:rPr>
              <w:t>5</w:t>
            </w:r>
          </w:p>
          <w:p w14:paraId="2F344A0F" w14:textId="77777777" w:rsidR="00A35EF7" w:rsidRPr="006E56EB" w:rsidRDefault="00A35EF7" w:rsidP="00AB4CE2">
            <w:pPr>
              <w:jc w:val="center"/>
              <w:rPr>
                <w:sz w:val="20"/>
                <w:szCs w:val="20"/>
              </w:rPr>
            </w:pPr>
            <w:r>
              <w:rPr>
                <w:sz w:val="20"/>
                <w:szCs w:val="20"/>
              </w:rPr>
              <w:t>3 (60% FSM)</w:t>
            </w:r>
          </w:p>
        </w:tc>
        <w:tc>
          <w:tcPr>
            <w:tcW w:w="1352" w:type="dxa"/>
          </w:tcPr>
          <w:p w14:paraId="0409F705" w14:textId="77777777" w:rsidR="00AB4CE2" w:rsidRDefault="00A35EF7" w:rsidP="00AB4CE2">
            <w:pPr>
              <w:jc w:val="center"/>
              <w:rPr>
                <w:sz w:val="20"/>
                <w:szCs w:val="20"/>
              </w:rPr>
            </w:pPr>
            <w:r>
              <w:rPr>
                <w:sz w:val="20"/>
                <w:szCs w:val="20"/>
              </w:rPr>
              <w:t>7</w:t>
            </w:r>
          </w:p>
          <w:p w14:paraId="0D563EEE" w14:textId="77777777" w:rsidR="00A35EF7" w:rsidRPr="006E56EB" w:rsidRDefault="00A35EF7" w:rsidP="00AB4CE2">
            <w:pPr>
              <w:jc w:val="center"/>
              <w:rPr>
                <w:sz w:val="20"/>
                <w:szCs w:val="20"/>
              </w:rPr>
            </w:pPr>
            <w:r>
              <w:rPr>
                <w:sz w:val="20"/>
                <w:szCs w:val="20"/>
              </w:rPr>
              <w:t>3 (43% FSM)</w:t>
            </w:r>
          </w:p>
        </w:tc>
        <w:tc>
          <w:tcPr>
            <w:tcW w:w="1506" w:type="dxa"/>
          </w:tcPr>
          <w:p w14:paraId="40B8E835" w14:textId="77777777" w:rsidR="00AB4CE2" w:rsidRDefault="00A35EF7" w:rsidP="00AB4CE2">
            <w:pPr>
              <w:jc w:val="center"/>
              <w:rPr>
                <w:sz w:val="20"/>
                <w:szCs w:val="20"/>
              </w:rPr>
            </w:pPr>
            <w:r>
              <w:rPr>
                <w:sz w:val="20"/>
                <w:szCs w:val="20"/>
              </w:rPr>
              <w:t>3</w:t>
            </w:r>
          </w:p>
          <w:p w14:paraId="10B1187E" w14:textId="77777777" w:rsidR="00A35EF7" w:rsidRPr="006E56EB" w:rsidRDefault="00A35EF7" w:rsidP="00AB4CE2">
            <w:pPr>
              <w:jc w:val="center"/>
              <w:rPr>
                <w:sz w:val="20"/>
                <w:szCs w:val="20"/>
              </w:rPr>
            </w:pPr>
            <w:r>
              <w:rPr>
                <w:sz w:val="20"/>
                <w:szCs w:val="20"/>
              </w:rPr>
              <w:t>No FSM</w:t>
            </w:r>
          </w:p>
        </w:tc>
      </w:tr>
      <w:tr w:rsidR="00FF481E" w14:paraId="31B93D21" w14:textId="77777777" w:rsidTr="00FF481E">
        <w:tc>
          <w:tcPr>
            <w:tcW w:w="1149" w:type="dxa"/>
          </w:tcPr>
          <w:p w14:paraId="66AB0AD8" w14:textId="77777777" w:rsidR="00AB4CE2" w:rsidRPr="006E56EB" w:rsidRDefault="00AB4CE2" w:rsidP="00AB4CE2">
            <w:pPr>
              <w:jc w:val="center"/>
              <w:rPr>
                <w:sz w:val="20"/>
                <w:szCs w:val="20"/>
              </w:rPr>
            </w:pPr>
          </w:p>
        </w:tc>
        <w:tc>
          <w:tcPr>
            <w:tcW w:w="1028" w:type="dxa"/>
          </w:tcPr>
          <w:p w14:paraId="4ACBE9BE" w14:textId="77777777" w:rsidR="00AB4CE2" w:rsidRPr="006E56EB" w:rsidRDefault="00AB4CE2" w:rsidP="00AB4CE2">
            <w:pPr>
              <w:jc w:val="center"/>
              <w:rPr>
                <w:sz w:val="20"/>
                <w:szCs w:val="20"/>
              </w:rPr>
            </w:pPr>
          </w:p>
        </w:tc>
        <w:tc>
          <w:tcPr>
            <w:tcW w:w="3684" w:type="dxa"/>
          </w:tcPr>
          <w:p w14:paraId="0BD2FFBC" w14:textId="77777777" w:rsidR="00AB4CE2" w:rsidRPr="006E56EB" w:rsidRDefault="00AB4CE2" w:rsidP="00AB4CE2">
            <w:pPr>
              <w:jc w:val="center"/>
              <w:rPr>
                <w:sz w:val="20"/>
                <w:szCs w:val="20"/>
              </w:rPr>
            </w:pPr>
          </w:p>
        </w:tc>
        <w:tc>
          <w:tcPr>
            <w:tcW w:w="3886" w:type="dxa"/>
          </w:tcPr>
          <w:p w14:paraId="38A97D61" w14:textId="77777777" w:rsidR="00AB4CE2" w:rsidRPr="006E56EB" w:rsidRDefault="00AB4CE2" w:rsidP="00AB4CE2">
            <w:pPr>
              <w:jc w:val="center"/>
              <w:rPr>
                <w:sz w:val="20"/>
                <w:szCs w:val="20"/>
              </w:rPr>
            </w:pPr>
          </w:p>
        </w:tc>
        <w:tc>
          <w:tcPr>
            <w:tcW w:w="1352" w:type="dxa"/>
          </w:tcPr>
          <w:p w14:paraId="593BC0E9" w14:textId="77777777" w:rsidR="00AB4CE2" w:rsidRDefault="00D10E95" w:rsidP="00AB4CE2">
            <w:pPr>
              <w:jc w:val="center"/>
              <w:rPr>
                <w:sz w:val="20"/>
                <w:szCs w:val="20"/>
              </w:rPr>
            </w:pPr>
            <w:r>
              <w:rPr>
                <w:sz w:val="20"/>
                <w:szCs w:val="20"/>
              </w:rPr>
              <w:t>74</w:t>
            </w:r>
          </w:p>
          <w:p w14:paraId="6464A035" w14:textId="77777777" w:rsidR="00A35EF7" w:rsidRPr="006E56EB" w:rsidRDefault="00A35EF7" w:rsidP="00AB4CE2">
            <w:pPr>
              <w:jc w:val="center"/>
              <w:rPr>
                <w:sz w:val="20"/>
                <w:szCs w:val="20"/>
              </w:rPr>
            </w:pPr>
            <w:r>
              <w:rPr>
                <w:sz w:val="20"/>
                <w:szCs w:val="20"/>
              </w:rPr>
              <w:t>12 (16% FSM)</w:t>
            </w:r>
          </w:p>
        </w:tc>
        <w:tc>
          <w:tcPr>
            <w:tcW w:w="1353" w:type="dxa"/>
          </w:tcPr>
          <w:p w14:paraId="0362EADF" w14:textId="77777777" w:rsidR="00AB4CE2" w:rsidRDefault="00A35EF7" w:rsidP="00AB4CE2">
            <w:pPr>
              <w:jc w:val="center"/>
              <w:rPr>
                <w:sz w:val="20"/>
                <w:szCs w:val="20"/>
              </w:rPr>
            </w:pPr>
            <w:r>
              <w:rPr>
                <w:sz w:val="20"/>
                <w:szCs w:val="20"/>
              </w:rPr>
              <w:t>81</w:t>
            </w:r>
          </w:p>
          <w:p w14:paraId="04D929C8" w14:textId="77777777" w:rsidR="00A35EF7" w:rsidRPr="006E56EB" w:rsidRDefault="00A35EF7" w:rsidP="00AB4CE2">
            <w:pPr>
              <w:jc w:val="center"/>
              <w:rPr>
                <w:sz w:val="20"/>
                <w:szCs w:val="20"/>
              </w:rPr>
            </w:pPr>
            <w:r>
              <w:rPr>
                <w:sz w:val="20"/>
                <w:szCs w:val="20"/>
              </w:rPr>
              <w:t>13 (16% FSM)</w:t>
            </w:r>
          </w:p>
        </w:tc>
        <w:tc>
          <w:tcPr>
            <w:tcW w:w="1352" w:type="dxa"/>
          </w:tcPr>
          <w:p w14:paraId="1A249D0C" w14:textId="77777777" w:rsidR="00AB4CE2" w:rsidRDefault="00D10E95" w:rsidP="00AB4CE2">
            <w:pPr>
              <w:jc w:val="center"/>
              <w:rPr>
                <w:sz w:val="20"/>
                <w:szCs w:val="20"/>
              </w:rPr>
            </w:pPr>
            <w:r>
              <w:rPr>
                <w:sz w:val="20"/>
                <w:szCs w:val="20"/>
              </w:rPr>
              <w:t>75</w:t>
            </w:r>
          </w:p>
          <w:p w14:paraId="09A9A277" w14:textId="77777777" w:rsidR="00A35EF7" w:rsidRPr="006E56EB" w:rsidRDefault="00D10E95" w:rsidP="00AB4CE2">
            <w:pPr>
              <w:jc w:val="center"/>
              <w:rPr>
                <w:sz w:val="20"/>
                <w:szCs w:val="20"/>
              </w:rPr>
            </w:pPr>
            <w:r>
              <w:rPr>
                <w:sz w:val="20"/>
                <w:szCs w:val="20"/>
              </w:rPr>
              <w:t>11 (15</w:t>
            </w:r>
            <w:r w:rsidR="00A35EF7">
              <w:rPr>
                <w:sz w:val="20"/>
                <w:szCs w:val="20"/>
              </w:rPr>
              <w:t>% FSM)</w:t>
            </w:r>
          </w:p>
        </w:tc>
        <w:tc>
          <w:tcPr>
            <w:tcW w:w="1506" w:type="dxa"/>
          </w:tcPr>
          <w:p w14:paraId="4BCA5F2F" w14:textId="77777777" w:rsidR="00AB4CE2" w:rsidRDefault="00A35EF7" w:rsidP="00AB4CE2">
            <w:pPr>
              <w:jc w:val="center"/>
              <w:rPr>
                <w:sz w:val="20"/>
                <w:szCs w:val="20"/>
              </w:rPr>
            </w:pPr>
            <w:r>
              <w:rPr>
                <w:sz w:val="20"/>
                <w:szCs w:val="20"/>
              </w:rPr>
              <w:t>60</w:t>
            </w:r>
          </w:p>
          <w:p w14:paraId="2DB27181" w14:textId="77777777" w:rsidR="00A35EF7" w:rsidRPr="006E56EB" w:rsidRDefault="00A35EF7" w:rsidP="00AB4CE2">
            <w:pPr>
              <w:jc w:val="center"/>
              <w:rPr>
                <w:sz w:val="20"/>
                <w:szCs w:val="20"/>
              </w:rPr>
            </w:pPr>
            <w:r>
              <w:rPr>
                <w:sz w:val="20"/>
                <w:szCs w:val="20"/>
              </w:rPr>
              <w:t>7 (12% FSM)</w:t>
            </w:r>
          </w:p>
        </w:tc>
      </w:tr>
    </w:tbl>
    <w:p w14:paraId="2A6AD79B" w14:textId="77777777" w:rsidR="00AB4CE2" w:rsidRDefault="00AB4CE2" w:rsidP="00AB4CE2">
      <w:pPr>
        <w:spacing w:after="0"/>
      </w:pPr>
    </w:p>
    <w:sectPr w:rsidR="00AB4CE2" w:rsidSect="00AB4CE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halkduste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A2901"/>
    <w:multiLevelType w:val="hybridMultilevel"/>
    <w:tmpl w:val="9EE43964"/>
    <w:lvl w:ilvl="0" w:tplc="63D695A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025523"/>
    <w:multiLevelType w:val="hybridMultilevel"/>
    <w:tmpl w:val="EC483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4E020B4"/>
    <w:multiLevelType w:val="hybridMultilevel"/>
    <w:tmpl w:val="AAF27740"/>
    <w:lvl w:ilvl="0" w:tplc="63D695A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7F3382"/>
    <w:multiLevelType w:val="hybridMultilevel"/>
    <w:tmpl w:val="86DC3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411C6"/>
    <w:rsid w:val="001A33AD"/>
    <w:rsid w:val="002C6CEC"/>
    <w:rsid w:val="004411C6"/>
    <w:rsid w:val="006E56EB"/>
    <w:rsid w:val="007027EA"/>
    <w:rsid w:val="00A35EF7"/>
    <w:rsid w:val="00A44E61"/>
    <w:rsid w:val="00AB4CE2"/>
    <w:rsid w:val="00D10E95"/>
    <w:rsid w:val="00DD6CCA"/>
    <w:rsid w:val="00FF48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75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C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56E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304</Words>
  <Characters>1737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Ruth Powley</cp:lastModifiedBy>
  <cp:revision>7</cp:revision>
  <dcterms:created xsi:type="dcterms:W3CDTF">2012-09-29T10:07:00Z</dcterms:created>
  <dcterms:modified xsi:type="dcterms:W3CDTF">2014-09-26T09:17:00Z</dcterms:modified>
</cp:coreProperties>
</file>