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82998" w14:textId="0E70FD97" w:rsidR="00692CA8" w:rsidRPr="00692CA8" w:rsidRDefault="00692CA8" w:rsidP="00692CA8">
      <w:pPr>
        <w:pStyle w:val="NormalWeb"/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Strategies for Improving Attendance</w:t>
      </w:r>
    </w:p>
    <w:p w14:paraId="0770835D" w14:textId="77777777" w:rsidR="00692CA8" w:rsidRDefault="00692CA8" w:rsidP="00820AFB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5AB58F5A" w14:textId="77777777" w:rsidR="00AE462F" w:rsidRPr="00692CA8" w:rsidRDefault="00AE462F" w:rsidP="00820AFB">
      <w:pPr>
        <w:pStyle w:val="NormalWeb"/>
        <w:jc w:val="both"/>
        <w:rPr>
          <w:rFonts w:ascii="Avenir Book" w:hAnsi="Avenir Book"/>
          <w:sz w:val="22"/>
          <w:szCs w:val="22"/>
        </w:rPr>
      </w:pPr>
      <w:r w:rsidRPr="00692CA8">
        <w:rPr>
          <w:rFonts w:ascii="Avenir Book" w:hAnsi="Avenir Book"/>
          <w:sz w:val="22"/>
          <w:szCs w:val="22"/>
        </w:rPr>
        <w:t>In order to prepare students for the world of work:</w:t>
      </w:r>
    </w:p>
    <w:p w14:paraId="02494E09" w14:textId="77777777" w:rsidR="00AE462F" w:rsidRPr="00692CA8" w:rsidRDefault="00AE462F" w:rsidP="00AE462F">
      <w:pPr>
        <w:pStyle w:val="NormalWeb"/>
        <w:numPr>
          <w:ilvl w:val="0"/>
          <w:numId w:val="1"/>
        </w:numPr>
        <w:jc w:val="both"/>
        <w:rPr>
          <w:rFonts w:ascii="Avenir Book" w:hAnsi="Avenir Book"/>
          <w:sz w:val="22"/>
          <w:szCs w:val="22"/>
        </w:rPr>
      </w:pPr>
      <w:r w:rsidRPr="00692CA8">
        <w:rPr>
          <w:rFonts w:ascii="Avenir Book" w:hAnsi="Avenir Book"/>
          <w:sz w:val="22"/>
          <w:szCs w:val="22"/>
        </w:rPr>
        <w:t>It is the student’s responsibility to ask for work in advance of a planned absence</w:t>
      </w:r>
    </w:p>
    <w:p w14:paraId="514356AE" w14:textId="76BD4EAC" w:rsidR="00AE462F" w:rsidRPr="00692CA8" w:rsidRDefault="00AE462F" w:rsidP="00AE462F">
      <w:pPr>
        <w:pStyle w:val="NormalWeb"/>
        <w:numPr>
          <w:ilvl w:val="0"/>
          <w:numId w:val="1"/>
        </w:numPr>
        <w:jc w:val="both"/>
        <w:rPr>
          <w:rFonts w:ascii="Avenir Book" w:hAnsi="Avenir Book"/>
          <w:sz w:val="22"/>
          <w:szCs w:val="22"/>
        </w:rPr>
      </w:pPr>
      <w:r w:rsidRPr="00692CA8">
        <w:rPr>
          <w:rFonts w:ascii="Avenir Book" w:hAnsi="Avenir Book"/>
          <w:sz w:val="22"/>
          <w:szCs w:val="22"/>
        </w:rPr>
        <w:t xml:space="preserve">It is the student’s responsibility to </w:t>
      </w:r>
      <w:r w:rsidR="00692CA8">
        <w:rPr>
          <w:rFonts w:ascii="Avenir Book" w:hAnsi="Avenir Book"/>
          <w:sz w:val="22"/>
          <w:szCs w:val="22"/>
        </w:rPr>
        <w:t xml:space="preserve">ensure that the school is contacted about </w:t>
      </w:r>
      <w:r w:rsidRPr="00692CA8">
        <w:rPr>
          <w:rFonts w:ascii="Avenir Book" w:hAnsi="Avenir Book"/>
          <w:sz w:val="22"/>
          <w:szCs w:val="22"/>
        </w:rPr>
        <w:t>the reason for absence, the length of</w:t>
      </w:r>
      <w:r w:rsidR="00692CA8">
        <w:rPr>
          <w:rFonts w:ascii="Avenir Book" w:hAnsi="Avenir Book"/>
          <w:sz w:val="22"/>
          <w:szCs w:val="22"/>
        </w:rPr>
        <w:t xml:space="preserve"> the absence and whether </w:t>
      </w:r>
      <w:r w:rsidRPr="00692CA8">
        <w:rPr>
          <w:rFonts w:ascii="Avenir Book" w:hAnsi="Avenir Book"/>
          <w:sz w:val="22"/>
          <w:szCs w:val="22"/>
        </w:rPr>
        <w:t>work</w:t>
      </w:r>
      <w:r w:rsidR="00692CA8">
        <w:rPr>
          <w:rFonts w:ascii="Avenir Book" w:hAnsi="Avenir Book"/>
          <w:sz w:val="22"/>
          <w:szCs w:val="22"/>
        </w:rPr>
        <w:t xml:space="preserve"> needs</w:t>
      </w:r>
      <w:r w:rsidRPr="00692CA8">
        <w:rPr>
          <w:rFonts w:ascii="Avenir Book" w:hAnsi="Avenir Book"/>
          <w:sz w:val="22"/>
          <w:szCs w:val="22"/>
        </w:rPr>
        <w:t xml:space="preserve"> to be provided (in the case of an absence lasting longer than</w:t>
      </w:r>
      <w:r w:rsidR="00692CA8">
        <w:rPr>
          <w:rFonts w:ascii="Avenir Book" w:hAnsi="Avenir Book"/>
          <w:sz w:val="22"/>
          <w:szCs w:val="22"/>
        </w:rPr>
        <w:t xml:space="preserve"> 3 days)</w:t>
      </w:r>
    </w:p>
    <w:p w14:paraId="1F613FE2" w14:textId="438002A4" w:rsidR="00AE462F" w:rsidRPr="00692CA8" w:rsidRDefault="00AE462F" w:rsidP="00AE462F">
      <w:pPr>
        <w:pStyle w:val="NormalWeb"/>
        <w:numPr>
          <w:ilvl w:val="0"/>
          <w:numId w:val="1"/>
        </w:numPr>
        <w:jc w:val="both"/>
        <w:rPr>
          <w:rFonts w:ascii="Avenir Book" w:hAnsi="Avenir Book"/>
          <w:sz w:val="22"/>
          <w:szCs w:val="22"/>
        </w:rPr>
      </w:pPr>
      <w:r w:rsidRPr="00692CA8">
        <w:rPr>
          <w:rFonts w:ascii="Avenir Book" w:hAnsi="Avenir Book"/>
          <w:sz w:val="22"/>
          <w:szCs w:val="22"/>
        </w:rPr>
        <w:t>It is the student’s responsibility to comp</w:t>
      </w:r>
      <w:r w:rsidR="00692CA8">
        <w:rPr>
          <w:rFonts w:ascii="Avenir Book" w:hAnsi="Avenir Book"/>
          <w:sz w:val="22"/>
          <w:szCs w:val="22"/>
        </w:rPr>
        <w:t>lete work sent home</w:t>
      </w:r>
    </w:p>
    <w:p w14:paraId="70DC9671" w14:textId="77777777" w:rsidR="00AE462F" w:rsidRPr="00692CA8" w:rsidRDefault="00AE462F" w:rsidP="00AE462F">
      <w:pPr>
        <w:pStyle w:val="NormalWeb"/>
        <w:numPr>
          <w:ilvl w:val="0"/>
          <w:numId w:val="1"/>
        </w:numPr>
        <w:jc w:val="both"/>
        <w:rPr>
          <w:rFonts w:ascii="Avenir Book" w:hAnsi="Avenir Book"/>
          <w:sz w:val="22"/>
          <w:szCs w:val="22"/>
        </w:rPr>
      </w:pPr>
      <w:r w:rsidRPr="00692CA8">
        <w:rPr>
          <w:rFonts w:ascii="Avenir Book" w:hAnsi="Avenir Book"/>
          <w:sz w:val="22"/>
          <w:szCs w:val="22"/>
        </w:rPr>
        <w:t>It is the school’s responsibility to ensure that where work is requested appropriate work is set and marked</w:t>
      </w:r>
    </w:p>
    <w:p w14:paraId="598468FB" w14:textId="77777777" w:rsidR="00820AFB" w:rsidRPr="00692CA8" w:rsidRDefault="00820AFB" w:rsidP="00820AFB">
      <w:pPr>
        <w:pStyle w:val="NormalWeb"/>
        <w:rPr>
          <w:rFonts w:ascii="Avenir Book" w:hAnsi="Avenir Book"/>
          <w:sz w:val="20"/>
          <w:szCs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26"/>
        <w:gridCol w:w="1808"/>
        <w:gridCol w:w="3333"/>
        <w:gridCol w:w="2235"/>
        <w:gridCol w:w="1405"/>
      </w:tblGrid>
      <w:tr w:rsidR="00820AFB" w:rsidRPr="00692CA8" w14:paraId="3A7940AD" w14:textId="77777777" w:rsidTr="00651078">
        <w:tc>
          <w:tcPr>
            <w:tcW w:w="1279" w:type="dxa"/>
            <w:shd w:val="clear" w:color="auto" w:fill="002060"/>
          </w:tcPr>
          <w:p w14:paraId="47BC4FCE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Attendance</w:t>
            </w:r>
          </w:p>
        </w:tc>
        <w:tc>
          <w:tcPr>
            <w:tcW w:w="1841" w:type="dxa"/>
            <w:shd w:val="clear" w:color="auto" w:fill="002060"/>
          </w:tcPr>
          <w:p w14:paraId="1E4E7DE3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Colour</w:t>
            </w:r>
          </w:p>
        </w:tc>
        <w:tc>
          <w:tcPr>
            <w:tcW w:w="3402" w:type="dxa"/>
            <w:shd w:val="clear" w:color="auto" w:fill="002060"/>
          </w:tcPr>
          <w:p w14:paraId="44401E18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002060"/>
          </w:tcPr>
          <w:p w14:paraId="6ACF5422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Return from absence</w:t>
            </w:r>
          </w:p>
        </w:tc>
        <w:tc>
          <w:tcPr>
            <w:tcW w:w="1417" w:type="dxa"/>
            <w:shd w:val="clear" w:color="auto" w:fill="002060"/>
          </w:tcPr>
          <w:p w14:paraId="2EDB9F41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Who?</w:t>
            </w:r>
          </w:p>
        </w:tc>
      </w:tr>
      <w:tr w:rsidR="00820AFB" w:rsidRPr="00692CA8" w14:paraId="058CE872" w14:textId="77777777" w:rsidTr="00651078">
        <w:tc>
          <w:tcPr>
            <w:tcW w:w="1279" w:type="dxa"/>
          </w:tcPr>
          <w:p w14:paraId="58B3124D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100%</w:t>
            </w:r>
          </w:p>
        </w:tc>
        <w:tc>
          <w:tcPr>
            <w:tcW w:w="1841" w:type="dxa"/>
            <w:shd w:val="clear" w:color="auto" w:fill="00B050"/>
          </w:tcPr>
          <w:p w14:paraId="68D1EB90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Double Green</w:t>
            </w:r>
          </w:p>
        </w:tc>
        <w:tc>
          <w:tcPr>
            <w:tcW w:w="3402" w:type="dxa"/>
          </w:tcPr>
          <w:p w14:paraId="5846DA1D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Excellent attendance for achievement</w:t>
            </w:r>
          </w:p>
        </w:tc>
        <w:tc>
          <w:tcPr>
            <w:tcW w:w="2268" w:type="dxa"/>
          </w:tcPr>
          <w:p w14:paraId="312A6C78" w14:textId="5AE01A0A" w:rsidR="00820AFB" w:rsidRPr="00692CA8" w:rsidRDefault="00692CA8" w:rsidP="00C063E2">
            <w:pPr>
              <w:pStyle w:val="NormalWeb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38FFA94" w14:textId="6253E459" w:rsidR="00820AFB" w:rsidRPr="00692CA8" w:rsidRDefault="00692CA8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N/A</w:t>
            </w:r>
          </w:p>
        </w:tc>
      </w:tr>
      <w:tr w:rsidR="00820AFB" w:rsidRPr="00692CA8" w14:paraId="6AF5D6F6" w14:textId="77777777" w:rsidTr="00651078">
        <w:tc>
          <w:tcPr>
            <w:tcW w:w="1279" w:type="dxa"/>
          </w:tcPr>
          <w:p w14:paraId="09BE0761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95-99.9%</w:t>
            </w:r>
          </w:p>
        </w:tc>
        <w:tc>
          <w:tcPr>
            <w:tcW w:w="1841" w:type="dxa"/>
            <w:shd w:val="clear" w:color="auto" w:fill="92D050"/>
          </w:tcPr>
          <w:p w14:paraId="5A2DBCEC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Green</w:t>
            </w:r>
          </w:p>
        </w:tc>
        <w:tc>
          <w:tcPr>
            <w:tcW w:w="3402" w:type="dxa"/>
          </w:tcPr>
          <w:p w14:paraId="27B59BC7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Good attendance for achievement</w:t>
            </w:r>
          </w:p>
        </w:tc>
        <w:tc>
          <w:tcPr>
            <w:tcW w:w="2268" w:type="dxa"/>
          </w:tcPr>
          <w:p w14:paraId="7D25E64C" w14:textId="1CF3045B" w:rsidR="00820AFB" w:rsidRPr="00692CA8" w:rsidRDefault="00692CA8" w:rsidP="00692CA8">
            <w:pPr>
              <w:pStyle w:val="NormalWeb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92CA8">
              <w:rPr>
                <w:rFonts w:ascii="Avenir Book" w:hAnsi="Avenir Book"/>
                <w:sz w:val="20"/>
                <w:szCs w:val="20"/>
              </w:rPr>
              <w:t>Return from Absence Form</w:t>
            </w:r>
          </w:p>
        </w:tc>
        <w:tc>
          <w:tcPr>
            <w:tcW w:w="1417" w:type="dxa"/>
          </w:tcPr>
          <w:p w14:paraId="3200FCFA" w14:textId="31FAE1B0" w:rsidR="00820AFB" w:rsidRPr="00692CA8" w:rsidRDefault="00692CA8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Student</w:t>
            </w:r>
          </w:p>
        </w:tc>
      </w:tr>
      <w:tr w:rsidR="00820AFB" w:rsidRPr="00692CA8" w14:paraId="3379754C" w14:textId="77777777" w:rsidTr="00651078">
        <w:tc>
          <w:tcPr>
            <w:tcW w:w="1279" w:type="dxa"/>
          </w:tcPr>
          <w:p w14:paraId="74449AE4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90-94.9%</w:t>
            </w:r>
          </w:p>
        </w:tc>
        <w:tc>
          <w:tcPr>
            <w:tcW w:w="1841" w:type="dxa"/>
            <w:shd w:val="clear" w:color="auto" w:fill="FFC000"/>
          </w:tcPr>
          <w:p w14:paraId="06F72307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Amber</w:t>
            </w:r>
          </w:p>
        </w:tc>
        <w:tc>
          <w:tcPr>
            <w:tcW w:w="3402" w:type="dxa"/>
          </w:tcPr>
          <w:p w14:paraId="5207834E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92CA8">
              <w:rPr>
                <w:rFonts w:ascii="Avenir Book" w:hAnsi="Avenir Book"/>
                <w:sz w:val="18"/>
                <w:szCs w:val="18"/>
              </w:rPr>
              <w:t>Evidence suggests for every 5% a student is from 100% results drop by ½ a grade</w:t>
            </w:r>
          </w:p>
        </w:tc>
        <w:tc>
          <w:tcPr>
            <w:tcW w:w="2268" w:type="dxa"/>
          </w:tcPr>
          <w:p w14:paraId="05453748" w14:textId="0737CA85" w:rsidR="00820AFB" w:rsidRPr="00692CA8" w:rsidRDefault="00692CA8" w:rsidP="00C063E2">
            <w:pPr>
              <w:pStyle w:val="NormalWeb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92CA8">
              <w:rPr>
                <w:rFonts w:ascii="Avenir Book" w:hAnsi="Avenir Book"/>
                <w:sz w:val="20"/>
                <w:szCs w:val="20"/>
              </w:rPr>
              <w:t>Return from Absence</w:t>
            </w:r>
            <w:r w:rsidR="00820AFB" w:rsidRPr="00692CA8">
              <w:rPr>
                <w:rFonts w:ascii="Avenir Book" w:hAnsi="Avenir Book"/>
                <w:sz w:val="20"/>
                <w:szCs w:val="20"/>
              </w:rPr>
              <w:t xml:space="preserve"> Form</w:t>
            </w:r>
          </w:p>
          <w:p w14:paraId="4B6686DE" w14:textId="59F05190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0D7F4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Form Tutor</w:t>
            </w:r>
          </w:p>
        </w:tc>
      </w:tr>
      <w:tr w:rsidR="00820AFB" w:rsidRPr="00692CA8" w14:paraId="2E5F2E1B" w14:textId="77777777" w:rsidTr="00651078">
        <w:tc>
          <w:tcPr>
            <w:tcW w:w="1279" w:type="dxa"/>
          </w:tcPr>
          <w:p w14:paraId="5595AD4A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85-89.5%</w:t>
            </w:r>
          </w:p>
        </w:tc>
        <w:tc>
          <w:tcPr>
            <w:tcW w:w="1841" w:type="dxa"/>
            <w:shd w:val="clear" w:color="auto" w:fill="FF0000"/>
          </w:tcPr>
          <w:p w14:paraId="6A25D110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Red</w:t>
            </w:r>
          </w:p>
        </w:tc>
        <w:tc>
          <w:tcPr>
            <w:tcW w:w="3402" w:type="dxa"/>
          </w:tcPr>
          <w:p w14:paraId="47D24334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18"/>
                <w:szCs w:val="18"/>
              </w:rPr>
              <w:t>Evidence suggests for every 10% a student is from 100% grades drop by 1 grade</w:t>
            </w:r>
          </w:p>
        </w:tc>
        <w:tc>
          <w:tcPr>
            <w:tcW w:w="2268" w:type="dxa"/>
          </w:tcPr>
          <w:p w14:paraId="21346816" w14:textId="51EFF822" w:rsidR="00820AFB" w:rsidRPr="00692CA8" w:rsidRDefault="00692CA8" w:rsidP="00692CA8">
            <w:pPr>
              <w:pStyle w:val="NormalWeb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Attendance Action Plan</w:t>
            </w:r>
          </w:p>
        </w:tc>
        <w:tc>
          <w:tcPr>
            <w:tcW w:w="1417" w:type="dxa"/>
          </w:tcPr>
          <w:p w14:paraId="7289DFE4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Head of Year</w:t>
            </w:r>
          </w:p>
        </w:tc>
      </w:tr>
      <w:tr w:rsidR="00820AFB" w:rsidRPr="00692CA8" w14:paraId="0F95D315" w14:textId="77777777" w:rsidTr="00651078">
        <w:tc>
          <w:tcPr>
            <w:tcW w:w="1279" w:type="dxa"/>
          </w:tcPr>
          <w:p w14:paraId="14789A74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Below 85%</w:t>
            </w:r>
          </w:p>
        </w:tc>
        <w:tc>
          <w:tcPr>
            <w:tcW w:w="1841" w:type="dxa"/>
            <w:shd w:val="clear" w:color="auto" w:fill="0070C0"/>
          </w:tcPr>
          <w:p w14:paraId="71CA030B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Blue</w:t>
            </w:r>
          </w:p>
        </w:tc>
        <w:tc>
          <w:tcPr>
            <w:tcW w:w="3402" w:type="dxa"/>
          </w:tcPr>
          <w:p w14:paraId="6DE3B1F5" w14:textId="3C547A52" w:rsidR="00820AFB" w:rsidRPr="00692CA8" w:rsidRDefault="00692CA8" w:rsidP="00C063E2">
            <w:pPr>
              <w:pStyle w:val="NormalWeb"/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Evidence suggests for every 15</w:t>
            </w:r>
            <w:r w:rsidRPr="00692CA8">
              <w:rPr>
                <w:rFonts w:ascii="Avenir Book" w:hAnsi="Avenir Book"/>
                <w:sz w:val="18"/>
                <w:szCs w:val="18"/>
              </w:rPr>
              <w:t>% a student is from 100% grades drop by 1</w:t>
            </w:r>
            <w:r>
              <w:rPr>
                <w:rFonts w:ascii="Avenir Book" w:hAnsi="Avenir Book"/>
                <w:sz w:val="18"/>
                <w:szCs w:val="18"/>
              </w:rPr>
              <w:t xml:space="preserve">½ </w:t>
            </w:r>
            <w:r w:rsidRPr="00692CA8">
              <w:rPr>
                <w:rFonts w:ascii="Avenir Book" w:hAnsi="Avenir Book"/>
                <w:sz w:val="18"/>
                <w:szCs w:val="18"/>
              </w:rPr>
              <w:t xml:space="preserve"> grade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14:paraId="4B209543" w14:textId="7E0F1A99" w:rsidR="00820AFB" w:rsidRPr="00692CA8" w:rsidRDefault="00692CA8" w:rsidP="00692CA8">
            <w:pPr>
              <w:pStyle w:val="NormalWeb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Personalised Intervention Plan </w:t>
            </w:r>
          </w:p>
        </w:tc>
        <w:tc>
          <w:tcPr>
            <w:tcW w:w="1417" w:type="dxa"/>
          </w:tcPr>
          <w:p w14:paraId="3C0B10F1" w14:textId="77777777" w:rsidR="00820AFB" w:rsidRPr="00692CA8" w:rsidRDefault="00820AFB" w:rsidP="00C063E2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Learning Mentor</w:t>
            </w:r>
          </w:p>
        </w:tc>
      </w:tr>
    </w:tbl>
    <w:p w14:paraId="552E3A49" w14:textId="77777777" w:rsidR="009A442A" w:rsidRPr="00692CA8" w:rsidRDefault="009A442A" w:rsidP="00AE462F">
      <w:pPr>
        <w:pStyle w:val="NormalWeb"/>
        <w:rPr>
          <w:rFonts w:ascii="Avenir Book" w:hAnsi="Avenir Book"/>
          <w:b/>
          <w:sz w:val="22"/>
          <w:szCs w:val="22"/>
        </w:rPr>
      </w:pPr>
    </w:p>
    <w:p w14:paraId="064616C0" w14:textId="77777777" w:rsidR="009A442A" w:rsidRPr="00692CA8" w:rsidRDefault="009A442A" w:rsidP="009A442A">
      <w:pPr>
        <w:pStyle w:val="NormalWeb"/>
        <w:rPr>
          <w:rFonts w:ascii="Avenir Book" w:hAnsi="Avenir Book"/>
          <w:b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374"/>
        <w:gridCol w:w="2972"/>
        <w:gridCol w:w="2203"/>
        <w:gridCol w:w="1833"/>
        <w:gridCol w:w="1825"/>
      </w:tblGrid>
      <w:tr w:rsidR="009A442A" w:rsidRPr="00692CA8" w14:paraId="263038B0" w14:textId="77777777" w:rsidTr="00984ADC">
        <w:tc>
          <w:tcPr>
            <w:tcW w:w="1279" w:type="dxa"/>
            <w:shd w:val="clear" w:color="auto" w:fill="002060"/>
          </w:tcPr>
          <w:p w14:paraId="49E389A8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Punctuality</w:t>
            </w:r>
          </w:p>
        </w:tc>
        <w:tc>
          <w:tcPr>
            <w:tcW w:w="3022" w:type="dxa"/>
            <w:shd w:val="clear" w:color="auto" w:fill="002060"/>
          </w:tcPr>
          <w:p w14:paraId="3924DDEE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Colour</w:t>
            </w:r>
          </w:p>
        </w:tc>
        <w:tc>
          <w:tcPr>
            <w:tcW w:w="2221" w:type="dxa"/>
            <w:shd w:val="clear" w:color="auto" w:fill="002060"/>
          </w:tcPr>
          <w:p w14:paraId="5662BC84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Description</w:t>
            </w:r>
          </w:p>
        </w:tc>
        <w:tc>
          <w:tcPr>
            <w:tcW w:w="1842" w:type="dxa"/>
            <w:shd w:val="clear" w:color="auto" w:fill="002060"/>
          </w:tcPr>
          <w:p w14:paraId="24E6F19E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Action</w:t>
            </w:r>
          </w:p>
        </w:tc>
        <w:tc>
          <w:tcPr>
            <w:tcW w:w="1843" w:type="dxa"/>
            <w:shd w:val="clear" w:color="auto" w:fill="002060"/>
          </w:tcPr>
          <w:p w14:paraId="4ACFEFD2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92CA8">
              <w:rPr>
                <w:rFonts w:ascii="Avenir Book" w:hAnsi="Avenir Book"/>
                <w:b/>
                <w:sz w:val="22"/>
                <w:szCs w:val="22"/>
              </w:rPr>
              <w:t>Who?</w:t>
            </w:r>
          </w:p>
        </w:tc>
      </w:tr>
      <w:tr w:rsidR="009A442A" w:rsidRPr="00692CA8" w14:paraId="16FE60C9" w14:textId="77777777" w:rsidTr="00984ADC">
        <w:tc>
          <w:tcPr>
            <w:tcW w:w="1279" w:type="dxa"/>
          </w:tcPr>
          <w:p w14:paraId="22FB72E8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0 lates per half term</w:t>
            </w:r>
          </w:p>
        </w:tc>
        <w:tc>
          <w:tcPr>
            <w:tcW w:w="3022" w:type="dxa"/>
            <w:shd w:val="clear" w:color="auto" w:fill="00B050"/>
          </w:tcPr>
          <w:p w14:paraId="23740640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Double Green</w:t>
            </w:r>
          </w:p>
        </w:tc>
        <w:tc>
          <w:tcPr>
            <w:tcW w:w="2221" w:type="dxa"/>
          </w:tcPr>
          <w:p w14:paraId="3520822B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Excellent punctuality for achievement</w:t>
            </w:r>
          </w:p>
        </w:tc>
        <w:tc>
          <w:tcPr>
            <w:tcW w:w="1842" w:type="dxa"/>
          </w:tcPr>
          <w:p w14:paraId="3B2E78F3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Reward letter</w:t>
            </w:r>
          </w:p>
        </w:tc>
        <w:tc>
          <w:tcPr>
            <w:tcW w:w="1843" w:type="dxa"/>
          </w:tcPr>
          <w:p w14:paraId="00E2C724" w14:textId="166FF795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A442A" w:rsidRPr="00692CA8" w14:paraId="6A1F566F" w14:textId="77777777" w:rsidTr="00984ADC">
        <w:tc>
          <w:tcPr>
            <w:tcW w:w="1279" w:type="dxa"/>
          </w:tcPr>
          <w:p w14:paraId="37D3B50B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1 late per half term</w:t>
            </w:r>
          </w:p>
        </w:tc>
        <w:tc>
          <w:tcPr>
            <w:tcW w:w="3022" w:type="dxa"/>
            <w:shd w:val="clear" w:color="auto" w:fill="92D050"/>
          </w:tcPr>
          <w:p w14:paraId="4FD54AEA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Green</w:t>
            </w:r>
          </w:p>
        </w:tc>
        <w:tc>
          <w:tcPr>
            <w:tcW w:w="2221" w:type="dxa"/>
          </w:tcPr>
          <w:p w14:paraId="44A7C1FB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Good punctuality for achievement</w:t>
            </w:r>
          </w:p>
        </w:tc>
        <w:tc>
          <w:tcPr>
            <w:tcW w:w="1842" w:type="dxa"/>
          </w:tcPr>
          <w:p w14:paraId="72C9A541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Reward letter</w:t>
            </w:r>
          </w:p>
        </w:tc>
        <w:tc>
          <w:tcPr>
            <w:tcW w:w="1843" w:type="dxa"/>
          </w:tcPr>
          <w:p w14:paraId="3CD59E1B" w14:textId="6079C048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A442A" w:rsidRPr="00692CA8" w14:paraId="474261D9" w14:textId="77777777" w:rsidTr="00984ADC">
        <w:tc>
          <w:tcPr>
            <w:tcW w:w="1279" w:type="dxa"/>
          </w:tcPr>
          <w:p w14:paraId="4F43DE5A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2-3 per half term</w:t>
            </w:r>
          </w:p>
        </w:tc>
        <w:tc>
          <w:tcPr>
            <w:tcW w:w="3022" w:type="dxa"/>
            <w:shd w:val="clear" w:color="auto" w:fill="FFC000"/>
          </w:tcPr>
          <w:p w14:paraId="79B61076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Amber</w:t>
            </w:r>
          </w:p>
        </w:tc>
        <w:tc>
          <w:tcPr>
            <w:tcW w:w="2221" w:type="dxa"/>
          </w:tcPr>
          <w:p w14:paraId="58A2830A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92CA8">
              <w:rPr>
                <w:rFonts w:ascii="Avenir Book" w:hAnsi="Avenir Book"/>
                <w:sz w:val="18"/>
                <w:szCs w:val="18"/>
              </w:rPr>
              <w:t>This level of punctuality could not be described as good in a reference</w:t>
            </w:r>
          </w:p>
        </w:tc>
        <w:tc>
          <w:tcPr>
            <w:tcW w:w="1842" w:type="dxa"/>
          </w:tcPr>
          <w:p w14:paraId="6D8A005B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Form Tutor Action</w:t>
            </w:r>
          </w:p>
        </w:tc>
        <w:tc>
          <w:tcPr>
            <w:tcW w:w="1843" w:type="dxa"/>
          </w:tcPr>
          <w:p w14:paraId="623C8836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Form Tutor</w:t>
            </w:r>
          </w:p>
        </w:tc>
      </w:tr>
      <w:tr w:rsidR="009A442A" w:rsidRPr="00692CA8" w14:paraId="18D9E5F9" w14:textId="77777777" w:rsidTr="00984ADC">
        <w:tc>
          <w:tcPr>
            <w:tcW w:w="1279" w:type="dxa"/>
          </w:tcPr>
          <w:p w14:paraId="58B0A0B1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4-5 per half term</w:t>
            </w:r>
          </w:p>
        </w:tc>
        <w:tc>
          <w:tcPr>
            <w:tcW w:w="3022" w:type="dxa"/>
            <w:shd w:val="clear" w:color="auto" w:fill="FF0000"/>
          </w:tcPr>
          <w:p w14:paraId="0B117E7F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Red</w:t>
            </w:r>
          </w:p>
        </w:tc>
        <w:tc>
          <w:tcPr>
            <w:tcW w:w="2221" w:type="dxa"/>
          </w:tcPr>
          <w:p w14:paraId="392E7999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92CA8">
              <w:rPr>
                <w:rFonts w:ascii="Avenir Book" w:hAnsi="Avenir Book"/>
                <w:sz w:val="18"/>
                <w:szCs w:val="18"/>
              </w:rPr>
              <w:t xml:space="preserve">This level of punctuality would be described as poor in a reference </w:t>
            </w:r>
          </w:p>
        </w:tc>
        <w:tc>
          <w:tcPr>
            <w:tcW w:w="1842" w:type="dxa"/>
          </w:tcPr>
          <w:p w14:paraId="46FBA38B" w14:textId="4FF5507A" w:rsidR="009A442A" w:rsidRPr="00692CA8" w:rsidRDefault="00692CA8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Punctuality Action Plan</w:t>
            </w:r>
          </w:p>
        </w:tc>
        <w:tc>
          <w:tcPr>
            <w:tcW w:w="1843" w:type="dxa"/>
          </w:tcPr>
          <w:p w14:paraId="3EBDF7D8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Head of Year</w:t>
            </w:r>
          </w:p>
        </w:tc>
      </w:tr>
      <w:tr w:rsidR="009A442A" w:rsidRPr="00692CA8" w14:paraId="79B5AFBE" w14:textId="77777777" w:rsidTr="00984ADC">
        <w:tc>
          <w:tcPr>
            <w:tcW w:w="1279" w:type="dxa"/>
          </w:tcPr>
          <w:p w14:paraId="7A584663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6+ per half term</w:t>
            </w:r>
          </w:p>
        </w:tc>
        <w:tc>
          <w:tcPr>
            <w:tcW w:w="3022" w:type="dxa"/>
            <w:shd w:val="clear" w:color="auto" w:fill="0070C0"/>
          </w:tcPr>
          <w:p w14:paraId="2791485D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Blue</w:t>
            </w:r>
          </w:p>
        </w:tc>
        <w:tc>
          <w:tcPr>
            <w:tcW w:w="2221" w:type="dxa"/>
          </w:tcPr>
          <w:p w14:paraId="0B91F021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92CA8">
              <w:rPr>
                <w:rFonts w:ascii="Avenir Book" w:hAnsi="Avenir Book"/>
                <w:sz w:val="18"/>
                <w:szCs w:val="18"/>
              </w:rPr>
              <w:t xml:space="preserve">This level of punctuality would be described as unacceptable in a reference </w:t>
            </w:r>
          </w:p>
        </w:tc>
        <w:tc>
          <w:tcPr>
            <w:tcW w:w="1842" w:type="dxa"/>
          </w:tcPr>
          <w:p w14:paraId="78B5DB61" w14:textId="5C691039" w:rsidR="009A442A" w:rsidRPr="00692CA8" w:rsidRDefault="00692CA8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Personalised Intervention Plan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3AE1DAF" w14:textId="77777777" w:rsidR="009A442A" w:rsidRPr="00692CA8" w:rsidRDefault="009A442A" w:rsidP="00984ADC">
            <w:pPr>
              <w:pStyle w:val="NormalWeb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92CA8">
              <w:rPr>
                <w:rFonts w:ascii="Avenir Book" w:hAnsi="Avenir Book"/>
                <w:sz w:val="22"/>
                <w:szCs w:val="22"/>
              </w:rPr>
              <w:t>Learning Mentor</w:t>
            </w:r>
          </w:p>
        </w:tc>
      </w:tr>
    </w:tbl>
    <w:p w14:paraId="4429A4F2" w14:textId="77777777" w:rsidR="00692CA8" w:rsidRDefault="00692CA8" w:rsidP="009A442A">
      <w:pPr>
        <w:pStyle w:val="NormalWeb"/>
        <w:rPr>
          <w:rFonts w:ascii="Avenir Book" w:hAnsi="Avenir Book"/>
          <w:b/>
        </w:rPr>
      </w:pPr>
    </w:p>
    <w:sectPr w:rsidR="00692CA8" w:rsidSect="00D0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B71"/>
    <w:multiLevelType w:val="hybridMultilevel"/>
    <w:tmpl w:val="4EE6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A442A"/>
    <w:rsid w:val="000C7BBA"/>
    <w:rsid w:val="001B4B19"/>
    <w:rsid w:val="001D0CAE"/>
    <w:rsid w:val="00591858"/>
    <w:rsid w:val="00651078"/>
    <w:rsid w:val="00692CA8"/>
    <w:rsid w:val="007B3822"/>
    <w:rsid w:val="007F4D48"/>
    <w:rsid w:val="00820AFB"/>
    <w:rsid w:val="00881FBA"/>
    <w:rsid w:val="009112DB"/>
    <w:rsid w:val="009A442A"/>
    <w:rsid w:val="00A90B4A"/>
    <w:rsid w:val="00AE462F"/>
    <w:rsid w:val="00B2030F"/>
    <w:rsid w:val="00B50993"/>
    <w:rsid w:val="00B865DD"/>
    <w:rsid w:val="00BA56CD"/>
    <w:rsid w:val="00BC24F8"/>
    <w:rsid w:val="00C16C9B"/>
    <w:rsid w:val="00C553C0"/>
    <w:rsid w:val="00CD5DC3"/>
    <w:rsid w:val="00D0739C"/>
    <w:rsid w:val="00D612D5"/>
    <w:rsid w:val="00D61E7A"/>
    <w:rsid w:val="00D90DCA"/>
    <w:rsid w:val="00E63202"/>
    <w:rsid w:val="00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961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2A"/>
    <w:pPr>
      <w:ind w:left="720"/>
      <w:contextualSpacing/>
    </w:pPr>
  </w:style>
  <w:style w:type="table" w:styleId="TableGrid">
    <w:name w:val="Table Grid"/>
    <w:basedOn w:val="TableNormal"/>
    <w:uiPriority w:val="59"/>
    <w:rsid w:val="009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Ruth Powley</cp:lastModifiedBy>
  <cp:revision>14</cp:revision>
  <cp:lastPrinted>2013-11-17T14:19:00Z</cp:lastPrinted>
  <dcterms:created xsi:type="dcterms:W3CDTF">2013-10-21T09:05:00Z</dcterms:created>
  <dcterms:modified xsi:type="dcterms:W3CDTF">2014-10-14T12:56:00Z</dcterms:modified>
</cp:coreProperties>
</file>